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697E05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F17F81">
        <w:rPr>
          <w:bCs/>
          <w:noProof w:val="0"/>
          <w:sz w:val="24"/>
          <w:szCs w:val="24"/>
        </w:rPr>
        <w:t>3258</w:t>
      </w:r>
    </w:p>
    <w:p w14:paraId="11776FA6" w14:textId="484C9DA5"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030599">
        <w:rPr>
          <w:bCs/>
          <w:sz w:val="24"/>
          <w:szCs w:val="24"/>
          <w:lang w:eastAsia="zh-CN"/>
        </w:rPr>
        <w:t>21</w:t>
      </w:r>
      <w:r w:rsidRPr="00A36F5F">
        <w:rPr>
          <w:bCs/>
          <w:sz w:val="24"/>
          <w:szCs w:val="24"/>
          <w:lang w:eastAsia="zh-CN"/>
        </w:rPr>
        <w:t xml:space="preserve"> </w:t>
      </w:r>
      <w:r w:rsidR="00030599">
        <w:rPr>
          <w:bCs/>
          <w:sz w:val="24"/>
          <w:szCs w:val="24"/>
          <w:lang w:eastAsia="zh-CN"/>
        </w:rPr>
        <w:t>February</w:t>
      </w:r>
      <w:r w:rsidRPr="00A36F5F">
        <w:rPr>
          <w:bCs/>
          <w:sz w:val="24"/>
          <w:szCs w:val="24"/>
          <w:lang w:eastAsia="zh-CN"/>
        </w:rPr>
        <w:t xml:space="preserve"> </w:t>
      </w:r>
      <w:r w:rsidR="00030599">
        <w:rPr>
          <w:bCs/>
          <w:sz w:val="24"/>
          <w:szCs w:val="24"/>
          <w:lang w:eastAsia="zh-CN"/>
        </w:rPr>
        <w:t xml:space="preserve">– 03 March </w:t>
      </w:r>
      <w:r w:rsidRPr="00A36F5F">
        <w:rPr>
          <w:bCs/>
          <w:sz w:val="24"/>
          <w:szCs w:val="24"/>
          <w:lang w:eastAsia="zh-CN"/>
        </w:rPr>
        <w:t>202</w:t>
      </w:r>
      <w:r w:rsidR="00030599">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6CA06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1E87">
        <w:rPr>
          <w:rFonts w:cs="Arial"/>
          <w:b/>
          <w:bCs/>
          <w:sz w:val="24"/>
        </w:rPr>
        <w:t>9.2.3.2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6B9CD4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462A">
        <w:rPr>
          <w:rFonts w:ascii="Arial" w:hAnsi="Arial" w:cs="Arial"/>
          <w:b/>
          <w:bCs/>
          <w:sz w:val="24"/>
        </w:rPr>
        <w:t>On</w:t>
      </w:r>
      <w:r w:rsidR="001563BA">
        <w:rPr>
          <w:rFonts w:ascii="Arial" w:hAnsi="Arial" w:cs="Arial"/>
          <w:b/>
          <w:bCs/>
          <w:sz w:val="24"/>
        </w:rPr>
        <w:t xml:space="preserve"> </w:t>
      </w:r>
      <w:r w:rsidR="004F2850">
        <w:rPr>
          <w:rFonts w:ascii="Arial" w:hAnsi="Arial" w:cs="Arial"/>
          <w:b/>
          <w:bCs/>
          <w:sz w:val="24"/>
        </w:rPr>
        <w:t xml:space="preserve">IoT NTN </w:t>
      </w:r>
      <w:r w:rsidR="001563BA">
        <w:rPr>
          <w:rFonts w:ascii="Arial" w:hAnsi="Arial" w:cs="Arial"/>
          <w:b/>
          <w:bCs/>
          <w:sz w:val="24"/>
        </w:rPr>
        <w:t xml:space="preserve">open issues for </w:t>
      </w:r>
      <w:r w:rsidR="004F2850">
        <w:rPr>
          <w:rFonts w:ascii="Arial" w:hAnsi="Arial" w:cs="Arial"/>
          <w:b/>
          <w:bCs/>
          <w:sz w:val="24"/>
        </w:rPr>
        <w:t>D</w:t>
      </w:r>
      <w:r w:rsidR="001563BA">
        <w:rPr>
          <w:rFonts w:ascii="Arial" w:hAnsi="Arial" w:cs="Arial"/>
          <w:b/>
          <w:bCs/>
          <w:sz w:val="24"/>
        </w:rPr>
        <w:t xml:space="preserve">iscontinuous </w:t>
      </w:r>
      <w:r w:rsidR="004F2850">
        <w:rPr>
          <w:rFonts w:ascii="Arial" w:hAnsi="Arial" w:cs="Arial"/>
          <w:b/>
          <w:bCs/>
          <w:sz w:val="24"/>
        </w:rPr>
        <w:t>C</w:t>
      </w:r>
      <w:r w:rsidR="001563BA">
        <w:rPr>
          <w:rFonts w:ascii="Arial" w:hAnsi="Arial" w:cs="Arial"/>
          <w:b/>
          <w:bCs/>
          <w:sz w:val="24"/>
        </w:rPr>
        <w:t xml:space="preserve">overage and </w:t>
      </w:r>
      <w:r w:rsidR="004F2850">
        <w:rPr>
          <w:rFonts w:ascii="Arial" w:hAnsi="Arial" w:cs="Arial"/>
          <w:b/>
          <w:bCs/>
          <w:sz w:val="24"/>
        </w:rPr>
        <w:t>U</w:t>
      </w:r>
      <w:r w:rsidR="001563BA">
        <w:rPr>
          <w:rFonts w:ascii="Arial" w:hAnsi="Arial" w:cs="Arial"/>
          <w:b/>
          <w:bCs/>
          <w:sz w:val="24"/>
        </w:rPr>
        <w:t>ser plane</w:t>
      </w:r>
    </w:p>
    <w:p w14:paraId="1F147C23" w14:textId="46178C83" w:rsidR="00A209D6" w:rsidRPr="00B266B0" w:rsidRDefault="00A209D6" w:rsidP="00A209D6">
      <w:pPr>
        <w:ind w:left="1985" w:hanging="1985"/>
        <w:rPr>
          <w:rFonts w:ascii="Arial" w:hAnsi="Arial" w:cs="Arial"/>
          <w:b/>
          <w:bCs/>
          <w:sz w:val="24"/>
        </w:rPr>
      </w:pPr>
      <w:r w:rsidRPr="00165F88">
        <w:rPr>
          <w:rFonts w:ascii="Arial" w:hAnsi="Arial" w:cs="Arial"/>
          <w:b/>
          <w:bCs/>
          <w:sz w:val="24"/>
        </w:rPr>
        <w:t>WID/SID:</w:t>
      </w:r>
      <w:r w:rsidRPr="00165F88">
        <w:rPr>
          <w:rFonts w:ascii="Arial" w:hAnsi="Arial" w:cs="Arial"/>
          <w:b/>
          <w:bCs/>
          <w:sz w:val="24"/>
        </w:rPr>
        <w:tab/>
      </w:r>
      <w:proofErr w:type="spellStart"/>
      <w:r w:rsidR="00165F88" w:rsidRPr="00165F88">
        <w:rPr>
          <w:rFonts w:ascii="Arial" w:hAnsi="Arial" w:cs="Arial"/>
          <w:b/>
          <w:bCs/>
          <w:sz w:val="24"/>
        </w:rPr>
        <w:t>LTE_NBIOT_eMTC_NTN</w:t>
      </w:r>
      <w:proofErr w:type="spellEnd"/>
      <w:r w:rsidR="00165F88" w:rsidRPr="00165F88">
        <w:rPr>
          <w:rFonts w:ascii="Arial" w:hAnsi="Arial" w:cs="Arial"/>
          <w:b/>
          <w:bCs/>
          <w:sz w:val="24"/>
        </w:rPr>
        <w:t xml:space="preserve"> </w:t>
      </w:r>
      <w:r w:rsidRPr="00165F88">
        <w:rPr>
          <w:rFonts w:ascii="Arial" w:hAnsi="Arial" w:cs="Arial"/>
          <w:b/>
          <w:bCs/>
          <w:sz w:val="24"/>
        </w:rPr>
        <w:t xml:space="preserve">- Release </w:t>
      </w:r>
      <w:r w:rsidR="00165F88" w:rsidRPr="00165F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B7E550" w14:textId="073E79B8" w:rsidR="00E97328" w:rsidRDefault="000B4045" w:rsidP="00E97328">
      <w:r>
        <w:t>In</w:t>
      </w:r>
      <w:r w:rsidR="00E97328">
        <w:t xml:space="preserve"> RAN2-116bis meeting, a list of open issues was identified as summarized in [1]. In this contribution, we would like to provide our view to address below open issues.</w:t>
      </w:r>
    </w:p>
    <w:tbl>
      <w:tblPr>
        <w:tblStyle w:val="TableGrid"/>
        <w:tblW w:w="0" w:type="auto"/>
        <w:tblLook w:val="04A0" w:firstRow="1" w:lastRow="0" w:firstColumn="1" w:lastColumn="0" w:noHBand="0" w:noVBand="1"/>
      </w:tblPr>
      <w:tblGrid>
        <w:gridCol w:w="9631"/>
      </w:tblGrid>
      <w:tr w:rsidR="00CE650D" w14:paraId="51B96CAB" w14:textId="77777777" w:rsidTr="00CE650D">
        <w:tc>
          <w:tcPr>
            <w:tcW w:w="9631" w:type="dxa"/>
          </w:tcPr>
          <w:p w14:paraId="518AB390" w14:textId="77777777" w:rsidR="00CE650D" w:rsidRDefault="00CE650D" w:rsidP="00CE650D">
            <w:pPr>
              <w:pStyle w:val="Comments"/>
            </w:pPr>
            <w:r>
              <w:t>Company input on the following Open Issues See also R2-2202053</w:t>
            </w:r>
          </w:p>
          <w:p w14:paraId="5117742D" w14:textId="77777777" w:rsidR="00CE650D" w:rsidRPr="00082B01" w:rsidRDefault="00CE650D" w:rsidP="00CE650D">
            <w:pPr>
              <w:pStyle w:val="Comments"/>
              <w:rPr>
                <w:b/>
                <w:lang w:val="en-US"/>
              </w:rPr>
            </w:pPr>
            <w:r w:rsidRPr="00082B01">
              <w:rPr>
                <w:b/>
                <w:lang w:val="en-US"/>
              </w:rPr>
              <w:t>User Plane</w:t>
            </w:r>
          </w:p>
          <w:p w14:paraId="0BD0CC86" w14:textId="77777777" w:rsidR="00CE650D" w:rsidRPr="00082B01" w:rsidRDefault="00CE650D" w:rsidP="00CE650D">
            <w:pPr>
              <w:pStyle w:val="Comments"/>
              <w:rPr>
                <w:lang w:val="en-US"/>
              </w:rPr>
            </w:pPr>
            <w:r w:rsidRPr="00082B01">
              <w:rPr>
                <w:lang w:val="en-US"/>
              </w:rPr>
              <w:t>OI 1.10 [Company Tdocs Invited]: Whether SR can be triggered if there is no available or sufficient UL-SCH resources for the triggered TA reporting?</w:t>
            </w:r>
          </w:p>
          <w:p w14:paraId="6442F2EA" w14:textId="77777777" w:rsidR="00CE650D" w:rsidRPr="00082B01" w:rsidRDefault="00CE650D" w:rsidP="00CE650D">
            <w:pPr>
              <w:pStyle w:val="Comments"/>
              <w:rPr>
                <w:b/>
                <w:lang w:val="en-US"/>
              </w:rPr>
            </w:pPr>
            <w:r w:rsidRPr="00082B01">
              <w:rPr>
                <w:b/>
                <w:lang w:val="en-US"/>
              </w:rPr>
              <w:t>Discontinuous Coverage</w:t>
            </w:r>
          </w:p>
          <w:p w14:paraId="29DB00C6" w14:textId="578826C9" w:rsidR="00CE650D" w:rsidRPr="00CE650D" w:rsidRDefault="00CE650D" w:rsidP="00CE650D">
            <w:pPr>
              <w:pStyle w:val="Comments"/>
              <w:rPr>
                <w:lang w:val="en-US"/>
              </w:rPr>
            </w:pPr>
            <w:r w:rsidRPr="00082B01">
              <w:rPr>
                <w:lang w:val="en-US"/>
              </w:rPr>
              <w:t>O1 3.5 [Company Tdocs Invited]: Decide on whether additional new parameters like satellite footprint reference point on ground, satellite coverage radius can be used?</w:t>
            </w:r>
          </w:p>
        </w:tc>
      </w:tr>
    </w:tbl>
    <w:p w14:paraId="21329EDA" w14:textId="77777777" w:rsidR="00CE650D" w:rsidRDefault="00CE650D" w:rsidP="00A209D6"/>
    <w:p w14:paraId="3C41B27B" w14:textId="40553D59" w:rsidR="00BB4BE2" w:rsidRDefault="00A209D6" w:rsidP="00B7538C">
      <w:pPr>
        <w:pStyle w:val="Heading1"/>
      </w:pPr>
      <w:r w:rsidRPr="006E13D1">
        <w:t>2</w:t>
      </w:r>
      <w:r w:rsidRPr="006E13D1">
        <w:tab/>
      </w:r>
      <w:r w:rsidR="00BB4BE2">
        <w:t>Discussion</w:t>
      </w:r>
    </w:p>
    <w:p w14:paraId="1DE68F74" w14:textId="67F3A05B" w:rsidR="00CB4857" w:rsidRPr="006E13D1" w:rsidRDefault="00CB4857" w:rsidP="00CB4857">
      <w:pPr>
        <w:pStyle w:val="Heading2"/>
      </w:pPr>
      <w:r>
        <w:t>2.1</w:t>
      </w:r>
      <w:r>
        <w:tab/>
      </w:r>
      <w:r w:rsidRPr="00CB4857">
        <w:rPr>
          <w:rFonts w:eastAsiaTheme="minorEastAsia"/>
        </w:rPr>
        <w:t>Discontinuous Coverage</w:t>
      </w:r>
    </w:p>
    <w:p w14:paraId="69F77CA7" w14:textId="77A97BB8" w:rsidR="001B3EC2" w:rsidRDefault="00572277" w:rsidP="00A209D6">
      <w:r>
        <w:t>Regarding</w:t>
      </w:r>
      <w:r w:rsidR="003D2E72" w:rsidRPr="00BE1E87">
        <w:rPr>
          <w:lang w:val="en-US"/>
        </w:rPr>
        <w:t xml:space="preserve"> </w:t>
      </w:r>
      <w:r w:rsidR="003D2E72" w:rsidRPr="00BE1E87">
        <w:rPr>
          <w:b/>
          <w:bCs/>
          <w:i/>
          <w:iCs/>
          <w:lang w:val="en-US"/>
        </w:rPr>
        <w:t xml:space="preserve">whether additional new parameters </w:t>
      </w:r>
      <w:r w:rsidR="003D2E72" w:rsidRPr="00BE1E87">
        <w:rPr>
          <w:lang w:val="en-US"/>
        </w:rPr>
        <w:t xml:space="preserve">like satellite footprint reference point on ground, satellite coverage radius </w:t>
      </w:r>
      <w:r w:rsidR="003D2E72" w:rsidRPr="00BE1E87">
        <w:rPr>
          <w:b/>
          <w:bCs/>
          <w:i/>
          <w:iCs/>
          <w:lang w:val="en-US"/>
        </w:rPr>
        <w:t>can be used</w:t>
      </w:r>
      <w:r w:rsidR="008C5977">
        <w:rPr>
          <w:lang w:val="en-US"/>
        </w:rPr>
        <w:t>,</w:t>
      </w:r>
      <w:r w:rsidR="003D2E72">
        <w:rPr>
          <w:lang w:val="en-US"/>
        </w:rPr>
        <w:t xml:space="preserve"> </w:t>
      </w:r>
      <w:r w:rsidR="008C5977">
        <w:rPr>
          <w:lang w:val="en-US"/>
        </w:rPr>
        <w:t>i</w:t>
      </w:r>
      <w:r>
        <w:rPr>
          <w:lang w:val="en-US"/>
        </w:rPr>
        <w:t xml:space="preserve">n our view, </w:t>
      </w:r>
      <w:r>
        <w:t>t</w:t>
      </w:r>
      <w:r w:rsidR="001B3EC2">
        <w:t>he UE must be able to link the position of a satellite (provided via ephemeris) with the radio coverage on Earth. If the UE is only aware of the satellite’s position, but not the radio coverage it will not be able to determine the next coverage window(s).</w:t>
      </w:r>
    </w:p>
    <w:p w14:paraId="44F8286E" w14:textId="2A8A6C0F" w:rsidR="001B3EC2" w:rsidRPr="00A81917" w:rsidRDefault="001B3EC2" w:rsidP="00A209D6">
      <w:pPr>
        <w:rPr>
          <w:b/>
          <w:bCs/>
        </w:rPr>
      </w:pPr>
      <w:r w:rsidRPr="00A81917">
        <w:rPr>
          <w:b/>
          <w:bCs/>
        </w:rPr>
        <w:t>Observation</w:t>
      </w:r>
      <w:r w:rsidR="00A81917" w:rsidRPr="00A81917">
        <w:rPr>
          <w:b/>
          <w:bCs/>
        </w:rPr>
        <w:t xml:space="preserve"> 1</w:t>
      </w:r>
      <w:r w:rsidRPr="00A81917">
        <w:rPr>
          <w:b/>
          <w:bCs/>
        </w:rPr>
        <w:t>: without additional parameter linking satellite position to radio coverage on Earth the UE cannot determine future coverage window(s).</w:t>
      </w:r>
    </w:p>
    <w:p w14:paraId="086989BF" w14:textId="043E6D65" w:rsidR="001B3EC2" w:rsidRDefault="001B3EC2" w:rsidP="00A209D6">
      <w:r>
        <w:t xml:space="preserve"> There are multiple options to achieve this</w:t>
      </w:r>
    </w:p>
    <w:p w14:paraId="7C4E428E" w14:textId="77777777" w:rsidR="001B3EC2" w:rsidRPr="001B3EC2" w:rsidRDefault="001B3EC2" w:rsidP="001B3EC2">
      <w:pPr>
        <w:pStyle w:val="ListParagraph"/>
        <w:numPr>
          <w:ilvl w:val="0"/>
          <w:numId w:val="11"/>
        </w:numPr>
        <w:rPr>
          <w:lang w:val="en-US"/>
        </w:rPr>
      </w:pPr>
      <w:r>
        <w:t xml:space="preserve">a minimum elevation angle between UE and satellite </w:t>
      </w:r>
    </w:p>
    <w:p w14:paraId="329769D2" w14:textId="69A4DA89" w:rsidR="001B3EC2" w:rsidRPr="001B3EC2" w:rsidRDefault="001B3EC2" w:rsidP="001B3EC2">
      <w:pPr>
        <w:pStyle w:val="ListParagraph"/>
        <w:numPr>
          <w:ilvl w:val="0"/>
          <w:numId w:val="11"/>
        </w:numPr>
        <w:rPr>
          <w:lang w:val="en-US"/>
        </w:rPr>
      </w:pPr>
      <w:r>
        <w:t xml:space="preserve">a satellite’s footprint </w:t>
      </w:r>
      <w:r w:rsidR="00956739">
        <w:t xml:space="preserve">(coverage radius) </w:t>
      </w:r>
      <w:r>
        <w:t xml:space="preserve">on earth </w:t>
      </w:r>
    </w:p>
    <w:p w14:paraId="41CF194A" w14:textId="6DEFEA49" w:rsidR="001B3EC2" w:rsidRDefault="001B3EC2" w:rsidP="001B3EC2">
      <w:r>
        <w:t>If the satellite’s radio coverage is not centred at nadir the network also needs to provide additional information</w:t>
      </w:r>
      <w:r w:rsidR="001C3ABC">
        <w:t xml:space="preserve"> defining the coverage </w:t>
      </w:r>
      <w:proofErr w:type="spellStart"/>
      <w:r w:rsidR="001C3ABC">
        <w:t>center</w:t>
      </w:r>
      <w:proofErr w:type="spellEnd"/>
      <w:r w:rsidR="001C3ABC">
        <w:t xml:space="preserve"> reference point</w:t>
      </w:r>
      <w:r>
        <w:t>.</w:t>
      </w:r>
      <w:r w:rsidR="00956739">
        <w:t xml:space="preserve"> From mobility perspective it may be useful for the UE to be aware of the satellite’s footprint to determine the coverage edge/border. Such “satellite coverage border” could also be estimated based on the minimum elevation angle, but it would require additional UE processing.</w:t>
      </w:r>
    </w:p>
    <w:p w14:paraId="27FBE2FD" w14:textId="4DAE06A0" w:rsidR="006C3708" w:rsidRDefault="006C3708" w:rsidP="001B3EC2">
      <w:r>
        <w:t xml:space="preserve">To minimize the signalling </w:t>
      </w:r>
      <w:r w:rsidR="0042252E">
        <w:t>overhead,</w:t>
      </w:r>
      <w:r>
        <w:t xml:space="preserve"> it seems sufficient to </w:t>
      </w:r>
      <w:r w:rsidR="00932BC0">
        <w:t>provide</w:t>
      </w:r>
      <w:r>
        <w:t xml:space="preserve"> the satellite’s footprint instead of the per-cell footprint</w:t>
      </w:r>
      <w:r w:rsidR="00932BC0">
        <w:t xml:space="preserve">. </w:t>
      </w:r>
      <w:r w:rsidR="002C57A0">
        <w:t xml:space="preserve">Approximating the coverage of multiple cells with a circle will be slightly inaccurate, but for </w:t>
      </w:r>
      <w:r w:rsidR="0042252E">
        <w:t>coverage window estimation it should be sufficient.</w:t>
      </w:r>
    </w:p>
    <w:p w14:paraId="2BF883D8" w14:textId="2588AD96" w:rsidR="001B3EC2" w:rsidRPr="00151A45" w:rsidRDefault="00956739" w:rsidP="001B3EC2">
      <w:pPr>
        <w:rPr>
          <w:b/>
          <w:bCs/>
          <w:lang w:val="en-US"/>
        </w:rPr>
      </w:pPr>
      <w:r w:rsidRPr="3C779209">
        <w:rPr>
          <w:b/>
          <w:bCs/>
          <w:lang w:val="en-US"/>
        </w:rPr>
        <w:t>Proposal</w:t>
      </w:r>
      <w:r w:rsidR="00151A45" w:rsidRPr="3C779209">
        <w:rPr>
          <w:b/>
          <w:bCs/>
          <w:lang w:val="en-US"/>
        </w:rPr>
        <w:t xml:space="preserve"> 1</w:t>
      </w:r>
      <w:r w:rsidRPr="3C779209">
        <w:rPr>
          <w:b/>
          <w:bCs/>
          <w:lang w:val="en-US"/>
        </w:rPr>
        <w:t xml:space="preserve">: RAN2 to define signaling a satellite’s footprint (coverage radius) </w:t>
      </w:r>
      <w:r w:rsidR="001C3ABC" w:rsidRPr="3C779209">
        <w:rPr>
          <w:b/>
          <w:bCs/>
          <w:lang w:val="en-US"/>
        </w:rPr>
        <w:t>as part of SIB. Optionally, the coverage center reference point can also be provided</w:t>
      </w:r>
      <w:r w:rsidR="007568BF">
        <w:rPr>
          <w:b/>
          <w:bCs/>
          <w:lang w:val="en-US"/>
        </w:rPr>
        <w:t xml:space="preserve"> if it is not indicating nadir</w:t>
      </w:r>
      <w:r w:rsidR="001C3ABC" w:rsidRPr="3C779209">
        <w:rPr>
          <w:b/>
          <w:bCs/>
          <w:lang w:val="en-US"/>
        </w:rPr>
        <w:t>.</w:t>
      </w:r>
    </w:p>
    <w:p w14:paraId="2EA693AB" w14:textId="16DED733" w:rsidR="00AB61A5" w:rsidRDefault="0034107D" w:rsidP="00A209D6">
      <w:pPr>
        <w:rPr>
          <w:lang w:val="en-US"/>
        </w:rPr>
      </w:pPr>
      <w:r>
        <w:rPr>
          <w:lang w:val="en-US"/>
        </w:rPr>
        <w:t xml:space="preserve">In addition to the open issue </w:t>
      </w:r>
      <w:r w:rsidR="00866CE6">
        <w:rPr>
          <w:lang w:val="en-US"/>
        </w:rPr>
        <w:t>3.5 there are additional aspects concerning discontinuous coverage, which remains unclear</w:t>
      </w:r>
      <w:r w:rsidR="00D56629">
        <w:rPr>
          <w:lang w:val="en-US"/>
        </w:rPr>
        <w:t xml:space="preserve"> and/or suboptimal</w:t>
      </w:r>
      <w:r w:rsidR="00866CE6">
        <w:rPr>
          <w:lang w:val="en-US"/>
        </w:rPr>
        <w:t>.</w:t>
      </w:r>
      <w:r w:rsidR="00D56629">
        <w:rPr>
          <w:lang w:val="en-US"/>
        </w:rPr>
        <w:t xml:space="preserve"> For example, the UE’s behavior when 1) receiving ephemeris and estimating coverage windows and </w:t>
      </w:r>
      <w:r w:rsidR="00D56629">
        <w:rPr>
          <w:lang w:val="en-US"/>
        </w:rPr>
        <w:lastRenderedPageBreak/>
        <w:t xml:space="preserve">2) </w:t>
      </w:r>
      <w:r w:rsidR="00A71E81">
        <w:rPr>
          <w:lang w:val="en-US"/>
        </w:rPr>
        <w:t xml:space="preserve">being outside a coverage window i.e. in a coverage gap. The latter point is critical for the UE battery </w:t>
      </w:r>
      <w:r w:rsidR="002375FF">
        <w:rPr>
          <w:lang w:val="en-US"/>
        </w:rPr>
        <w:t>life because</w:t>
      </w:r>
      <w:r w:rsidR="00A71E81">
        <w:rPr>
          <w:lang w:val="en-US"/>
        </w:rPr>
        <w:t xml:space="preserve"> it could </w:t>
      </w:r>
      <w:r w:rsidR="002073EE">
        <w:rPr>
          <w:lang w:val="en-US"/>
        </w:rPr>
        <w:t xml:space="preserve">consume significant amounts of energy searching for </w:t>
      </w:r>
      <w:r w:rsidR="00F737EA">
        <w:rPr>
          <w:lang w:val="en-US"/>
        </w:rPr>
        <w:t xml:space="preserve">cells and attempting to monitor for paging. </w:t>
      </w:r>
      <w:r w:rsidR="00AB61A5">
        <w:rPr>
          <w:lang w:val="en-US"/>
        </w:rPr>
        <w:t xml:space="preserve">The cell search </w:t>
      </w:r>
      <w:r w:rsidR="003B33B0">
        <w:rPr>
          <w:lang w:val="en-US"/>
        </w:rPr>
        <w:t xml:space="preserve">aspect is also critical for moving UEs and cold start UEs, because they may not have </w:t>
      </w:r>
      <w:r w:rsidR="00CF2CC4">
        <w:rPr>
          <w:lang w:val="en-US"/>
        </w:rPr>
        <w:t xml:space="preserve">satellite assistance information for the </w:t>
      </w:r>
      <w:proofErr w:type="gramStart"/>
      <w:r w:rsidR="00CF2CC4">
        <w:rPr>
          <w:lang w:val="en-US"/>
        </w:rPr>
        <w:t>area</w:t>
      </w:r>
      <w:proofErr w:type="gramEnd"/>
      <w:r w:rsidR="00CF2CC4">
        <w:rPr>
          <w:lang w:val="en-US"/>
        </w:rPr>
        <w:t xml:space="preserve"> they currently reside in.</w:t>
      </w:r>
    </w:p>
    <w:p w14:paraId="7B9D8FE0" w14:textId="38F32064" w:rsidR="0034107D" w:rsidRDefault="00F737EA" w:rsidP="00A209D6">
      <w:pPr>
        <w:rPr>
          <w:lang w:val="en-US"/>
        </w:rPr>
      </w:pPr>
      <w:r>
        <w:rPr>
          <w:lang w:val="en-US"/>
        </w:rPr>
        <w:t xml:space="preserve">The paging procedure </w:t>
      </w:r>
      <w:r w:rsidR="002375FF">
        <w:rPr>
          <w:lang w:val="en-US"/>
        </w:rPr>
        <w:t xml:space="preserve">in discontinuous coverage </w:t>
      </w:r>
      <w:r>
        <w:rPr>
          <w:lang w:val="en-US"/>
        </w:rPr>
        <w:t xml:space="preserve">is also critical from network perspective because </w:t>
      </w:r>
      <w:r w:rsidR="002375FF">
        <w:rPr>
          <w:lang w:val="en-US"/>
        </w:rPr>
        <w:t>the network could experience multiple failed paging attempts and escalation to large areas</w:t>
      </w:r>
      <w:r w:rsidR="00AA6263">
        <w:rPr>
          <w:lang w:val="en-US"/>
        </w:rPr>
        <w:t xml:space="preserve"> (also impacting other UEs), before a UE is reached</w:t>
      </w:r>
      <w:r w:rsidR="004F6995">
        <w:rPr>
          <w:lang w:val="en-US"/>
        </w:rPr>
        <w:t xml:space="preserve"> if the UE and network do not have </w:t>
      </w:r>
      <w:r w:rsidR="00CF50E1">
        <w:rPr>
          <w:lang w:val="en-US"/>
        </w:rPr>
        <w:t xml:space="preserve">a synchronized understanding of when the UE </w:t>
      </w:r>
      <w:r w:rsidR="00354BBD">
        <w:rPr>
          <w:lang w:val="en-US"/>
        </w:rPr>
        <w:t>is within a coverage window</w:t>
      </w:r>
      <w:r w:rsidR="00977494">
        <w:rPr>
          <w:lang w:val="en-US"/>
        </w:rPr>
        <w:t xml:space="preserve">. Even if such synchronization information is shared between UE and network </w:t>
      </w:r>
      <w:r w:rsidR="000F4C23">
        <w:rPr>
          <w:lang w:val="en-US"/>
        </w:rPr>
        <w:t>there are still open issues caused by UE prediction errors and UE movement</w:t>
      </w:r>
      <w:r w:rsidR="00AA6263">
        <w:rPr>
          <w:lang w:val="en-US"/>
        </w:rPr>
        <w:t>.</w:t>
      </w:r>
      <w:r w:rsidR="000B7636">
        <w:rPr>
          <w:lang w:val="en-US"/>
        </w:rPr>
        <w:t xml:space="preserve"> Finally, there seems to be room for improvement of the </w:t>
      </w:r>
      <w:r w:rsidR="00836784">
        <w:rPr>
          <w:lang w:val="en-US"/>
        </w:rPr>
        <w:t>satellite assistance information for discontinuous coverage</w:t>
      </w:r>
      <w:r w:rsidR="000B7636">
        <w:rPr>
          <w:lang w:val="en-US"/>
        </w:rPr>
        <w:t xml:space="preserve"> – both in terms of the </w:t>
      </w:r>
      <w:r w:rsidR="00836784">
        <w:rPr>
          <w:lang w:val="en-US"/>
        </w:rPr>
        <w:t xml:space="preserve">ephemeris design and the signaling of the </w:t>
      </w:r>
      <w:r w:rsidR="00837B1A">
        <w:rPr>
          <w:lang w:val="en-US"/>
        </w:rPr>
        <w:t>information.</w:t>
      </w:r>
    </w:p>
    <w:p w14:paraId="39FD4660" w14:textId="0AEE4127" w:rsidR="00AA6263" w:rsidRDefault="00AA6263" w:rsidP="00A209D6">
      <w:pPr>
        <w:rPr>
          <w:lang w:val="en-US"/>
        </w:rPr>
      </w:pPr>
      <w:r>
        <w:rPr>
          <w:lang w:val="en-US"/>
        </w:rPr>
        <w:t xml:space="preserve">The enhancements for the above issues </w:t>
      </w:r>
      <w:r w:rsidR="00CB6298">
        <w:rPr>
          <w:lang w:val="en-US"/>
        </w:rPr>
        <w:t xml:space="preserve">will require significant effort and discussion time, which is not available in the remainder of </w:t>
      </w:r>
      <w:r w:rsidR="004826BE">
        <w:rPr>
          <w:lang w:val="en-US"/>
        </w:rPr>
        <w:t xml:space="preserve">RAN2’s release17 time allocation for NB-IoT/eMTC support of NTN. </w:t>
      </w:r>
      <w:r w:rsidR="001B34FE">
        <w:rPr>
          <w:lang w:val="en-US"/>
        </w:rPr>
        <w:t xml:space="preserve">Therefore, </w:t>
      </w:r>
      <w:r w:rsidR="00837B1A">
        <w:rPr>
          <w:lang w:val="en-US"/>
        </w:rPr>
        <w:t xml:space="preserve">it will be </w:t>
      </w:r>
      <w:r w:rsidR="000D7FF4">
        <w:rPr>
          <w:lang w:val="en-US"/>
        </w:rPr>
        <w:t xml:space="preserve">beneficial to update the release 18 work item </w:t>
      </w:r>
      <w:r w:rsidR="00325312">
        <w:rPr>
          <w:lang w:val="en-US"/>
        </w:rPr>
        <w:t>(</w:t>
      </w:r>
      <w:r w:rsidR="00325312" w:rsidRPr="00325312">
        <w:rPr>
          <w:lang w:val="en-US"/>
        </w:rPr>
        <w:t>RP-213596</w:t>
      </w:r>
      <w:r w:rsidR="00325312">
        <w:rPr>
          <w:lang w:val="en-US"/>
        </w:rPr>
        <w:t>) objectives to include further enhancements to discontinuous coverage.</w:t>
      </w:r>
    </w:p>
    <w:p w14:paraId="5DB1DC78" w14:textId="08AAE550" w:rsidR="007545B8" w:rsidRPr="00C422B1" w:rsidRDefault="00B17C58" w:rsidP="00A209D6">
      <w:pPr>
        <w:rPr>
          <w:b/>
          <w:bCs/>
        </w:rPr>
      </w:pPr>
      <w:r w:rsidRPr="007019D6">
        <w:rPr>
          <w:b/>
          <w:bCs/>
          <w:lang w:val="en-US"/>
        </w:rPr>
        <w:t>Proposal</w:t>
      </w:r>
      <w:r w:rsidR="007019D6">
        <w:rPr>
          <w:b/>
          <w:bCs/>
          <w:lang w:val="en-US"/>
        </w:rPr>
        <w:t xml:space="preserve"> 2</w:t>
      </w:r>
      <w:r w:rsidR="00325312" w:rsidRPr="007019D6">
        <w:rPr>
          <w:b/>
          <w:bCs/>
          <w:lang w:val="en-US"/>
        </w:rPr>
        <w:t xml:space="preserve">: </w:t>
      </w:r>
      <w:r w:rsidRPr="007019D6">
        <w:rPr>
          <w:b/>
          <w:bCs/>
          <w:lang w:val="en-US"/>
        </w:rPr>
        <w:t xml:space="preserve">RAN2 to </w:t>
      </w:r>
      <w:r w:rsidR="008D55F8">
        <w:rPr>
          <w:b/>
          <w:bCs/>
          <w:lang w:val="en-US"/>
        </w:rPr>
        <w:t>define a basic solution for</w:t>
      </w:r>
      <w:r w:rsidR="0026648B" w:rsidRPr="007019D6">
        <w:rPr>
          <w:b/>
          <w:bCs/>
          <w:lang w:val="en-US"/>
        </w:rPr>
        <w:t xml:space="preserve"> discontinuous coverage support in the release 17.</w:t>
      </w:r>
    </w:p>
    <w:p w14:paraId="3DF2517A" w14:textId="033D0FD5" w:rsidR="00CB4857" w:rsidRPr="007A2CAD" w:rsidRDefault="004545DB" w:rsidP="00A209D6">
      <w:pPr>
        <w:rPr>
          <w:b/>
          <w:bCs/>
          <w:lang w:val="en-US" w:eastAsia="zh-CN"/>
        </w:rPr>
      </w:pPr>
      <w:r>
        <w:rPr>
          <w:b/>
          <w:bCs/>
          <w:lang w:val="en-US" w:eastAsia="zh-CN"/>
        </w:rPr>
        <w:t>Observation</w:t>
      </w:r>
      <w:r w:rsidR="00FD1D25">
        <w:rPr>
          <w:b/>
          <w:bCs/>
          <w:lang w:val="en-US" w:eastAsia="zh-CN"/>
        </w:rPr>
        <w:t xml:space="preserve"> 2</w:t>
      </w:r>
      <w:r>
        <w:rPr>
          <w:b/>
          <w:bCs/>
          <w:lang w:val="en-US" w:eastAsia="zh-CN"/>
        </w:rPr>
        <w:t>: RAN2 can continue to work on optimized support for discontinuous coverage in future releases.</w:t>
      </w:r>
    </w:p>
    <w:p w14:paraId="584AAAC4" w14:textId="3388118B" w:rsidR="00CB4857" w:rsidRPr="006E13D1" w:rsidRDefault="00CB4857" w:rsidP="00CB4857">
      <w:pPr>
        <w:pStyle w:val="Heading2"/>
      </w:pPr>
      <w:r>
        <w:t>2.2</w:t>
      </w:r>
      <w:r>
        <w:tab/>
      </w:r>
      <w:r w:rsidR="009A3CF3">
        <w:rPr>
          <w:rFonts w:eastAsiaTheme="minorEastAsia"/>
        </w:rPr>
        <w:t>User</w:t>
      </w:r>
      <w:r w:rsidRPr="00CB4857">
        <w:rPr>
          <w:rFonts w:eastAsiaTheme="minorEastAsia"/>
        </w:rPr>
        <w:t xml:space="preserve"> </w:t>
      </w:r>
      <w:r w:rsidR="009A3CF3">
        <w:rPr>
          <w:rFonts w:eastAsiaTheme="minorEastAsia"/>
        </w:rPr>
        <w:t>Plane</w:t>
      </w:r>
    </w:p>
    <w:p w14:paraId="27E35E05" w14:textId="1F2BEB5B" w:rsidR="00E346C4" w:rsidRDefault="008C5977" w:rsidP="002B184B">
      <w:pPr>
        <w:rPr>
          <w:lang w:val="en-US"/>
        </w:rPr>
      </w:pPr>
      <w:r w:rsidRPr="007A2CAD">
        <w:t>Regarding</w:t>
      </w:r>
      <w:r w:rsidRPr="00680E24">
        <w:rPr>
          <w:lang w:val="en-US"/>
        </w:rPr>
        <w:t xml:space="preserve"> </w:t>
      </w:r>
      <w:r>
        <w:rPr>
          <w:lang w:val="en-US"/>
        </w:rPr>
        <w:t>w</w:t>
      </w:r>
      <w:r w:rsidRPr="00082B01">
        <w:rPr>
          <w:lang w:val="en-US"/>
        </w:rPr>
        <w:t>hether SR can be triggered if there is no available or sufficient UL-SCH resources for the triggered TA reporting</w:t>
      </w:r>
      <w:r>
        <w:rPr>
          <w:lang w:val="en-US"/>
        </w:rPr>
        <w:t xml:space="preserve">, </w:t>
      </w:r>
      <w:r w:rsidR="00731C4A" w:rsidRPr="002B184B">
        <w:rPr>
          <w:lang w:val="en-US"/>
        </w:rPr>
        <w:t xml:space="preserve">the </w:t>
      </w:r>
      <w:r w:rsidR="0040577E" w:rsidRPr="002B184B">
        <w:rPr>
          <w:lang w:val="en-US"/>
        </w:rPr>
        <w:t xml:space="preserve">same </w:t>
      </w:r>
      <w:r w:rsidR="00731C4A" w:rsidRPr="002B184B">
        <w:rPr>
          <w:lang w:val="en-US"/>
        </w:rPr>
        <w:t xml:space="preserve">question </w:t>
      </w:r>
      <w:r w:rsidR="0040577E" w:rsidRPr="002B184B">
        <w:rPr>
          <w:lang w:val="en-US"/>
        </w:rPr>
        <w:t>was</w:t>
      </w:r>
      <w:r w:rsidR="00731C4A" w:rsidRPr="002B184B">
        <w:rPr>
          <w:lang w:val="en-US"/>
        </w:rPr>
        <w:t xml:space="preserve"> also in </w:t>
      </w:r>
      <w:r w:rsidR="0040577E" w:rsidRPr="002B184B">
        <w:rPr>
          <w:lang w:val="en-US"/>
        </w:rPr>
        <w:t>discussed</w:t>
      </w:r>
      <w:r w:rsidR="00731C4A" w:rsidRPr="002B184B">
        <w:rPr>
          <w:lang w:val="en-US"/>
        </w:rPr>
        <w:t xml:space="preserve"> in NR NTN [2] but no conclusion reached. </w:t>
      </w:r>
      <w:r>
        <w:rPr>
          <w:lang w:val="en-US"/>
        </w:rPr>
        <w:t xml:space="preserve"> </w:t>
      </w:r>
      <w:r w:rsidR="00972C51">
        <w:rPr>
          <w:lang w:val="en-US"/>
        </w:rPr>
        <w:t>The ma</w:t>
      </w:r>
      <w:r w:rsidR="00C0051E">
        <w:rPr>
          <w:lang w:val="en-US"/>
        </w:rPr>
        <w:t xml:space="preserve">in drawback to trigger SR for TA reporting is that </w:t>
      </w:r>
      <w:r w:rsidR="00951DEE">
        <w:rPr>
          <w:lang w:val="en-US"/>
        </w:rPr>
        <w:t>it will cause significant UL overhead</w:t>
      </w:r>
      <w:r w:rsidR="00E346C4">
        <w:rPr>
          <w:lang w:val="en-US"/>
        </w:rPr>
        <w:t xml:space="preserve"> </w:t>
      </w:r>
      <w:r w:rsidR="007769CE">
        <w:rPr>
          <w:lang w:val="en-US"/>
        </w:rPr>
        <w:t>because all the connected UE</w:t>
      </w:r>
      <w:r w:rsidR="00DB19E2">
        <w:rPr>
          <w:lang w:val="en-US"/>
        </w:rPr>
        <w:t>s</w:t>
      </w:r>
      <w:r w:rsidR="007769CE">
        <w:rPr>
          <w:lang w:val="en-US"/>
        </w:rPr>
        <w:t xml:space="preserve"> under the</w:t>
      </w:r>
      <w:r w:rsidR="00DB19E2">
        <w:rPr>
          <w:lang w:val="en-US"/>
        </w:rPr>
        <w:t xml:space="preserve"> satellite cell coverage have to trigger SR in order to report its TA</w:t>
      </w:r>
      <w:r w:rsidR="00C42BA9">
        <w:rPr>
          <w:lang w:val="en-US"/>
        </w:rPr>
        <w:t xml:space="preserve"> periodically</w:t>
      </w:r>
      <w:r w:rsidR="00066EA0">
        <w:rPr>
          <w:lang w:val="en-US"/>
        </w:rPr>
        <w:t>, even</w:t>
      </w:r>
      <w:r w:rsidR="006A711B">
        <w:rPr>
          <w:lang w:val="en-US"/>
        </w:rPr>
        <w:t xml:space="preserve"> if</w:t>
      </w:r>
      <w:r w:rsidR="00066EA0">
        <w:rPr>
          <w:lang w:val="en-US"/>
        </w:rPr>
        <w:t xml:space="preserve"> the UE has no data to send/receive.</w:t>
      </w:r>
      <w:r w:rsidR="007769CE">
        <w:rPr>
          <w:lang w:val="en-US"/>
        </w:rPr>
        <w:t xml:space="preserve"> </w:t>
      </w:r>
    </w:p>
    <w:p w14:paraId="698DFCD4" w14:textId="3D10E5BD" w:rsidR="004B650D" w:rsidRDefault="00D073F0" w:rsidP="004B650D">
      <w:pPr>
        <w:rPr>
          <w:lang w:val="en-US"/>
        </w:rPr>
      </w:pPr>
      <w:r>
        <w:rPr>
          <w:lang w:val="en-US"/>
        </w:rPr>
        <w:t>For example, f</w:t>
      </w:r>
      <w:r w:rsidR="00DC4D22">
        <w:rPr>
          <w:lang w:val="en-US"/>
        </w:rPr>
        <w:t xml:space="preserve">or LEO </w:t>
      </w:r>
      <w:r w:rsidR="00155E98">
        <w:rPr>
          <w:lang w:val="en-US"/>
        </w:rPr>
        <w:t xml:space="preserve">where </w:t>
      </w:r>
      <w:r w:rsidR="00DC4D22">
        <w:rPr>
          <w:lang w:val="en-US"/>
        </w:rPr>
        <w:t>the satellite is moving</w:t>
      </w:r>
      <w:r w:rsidR="00E244E1">
        <w:rPr>
          <w:lang w:val="en-US"/>
        </w:rPr>
        <w:t xml:space="preserve">, </w:t>
      </w:r>
      <w:r w:rsidR="00155E98">
        <w:rPr>
          <w:lang w:val="en-US"/>
        </w:rPr>
        <w:t>the UE-</w:t>
      </w:r>
      <w:proofErr w:type="spellStart"/>
      <w:r w:rsidR="00155E98">
        <w:rPr>
          <w:lang w:val="en-US"/>
        </w:rPr>
        <w:t>eNB</w:t>
      </w:r>
      <w:proofErr w:type="spellEnd"/>
      <w:r w:rsidR="00155E98">
        <w:rPr>
          <w:lang w:val="en-US"/>
        </w:rPr>
        <w:t xml:space="preserve"> RTT</w:t>
      </w:r>
      <w:r w:rsidR="00254FF6">
        <w:rPr>
          <w:lang w:val="en-US"/>
        </w:rPr>
        <w:t xml:space="preserve"> and the UE estimated TA</w:t>
      </w:r>
      <w:r w:rsidR="00155E98">
        <w:rPr>
          <w:lang w:val="en-US"/>
        </w:rPr>
        <w:t xml:space="preserve"> </w:t>
      </w:r>
      <w:r w:rsidR="00254FF6">
        <w:rPr>
          <w:lang w:val="en-US"/>
        </w:rPr>
        <w:t>are</w:t>
      </w:r>
      <w:r w:rsidR="00155E98">
        <w:rPr>
          <w:lang w:val="en-US"/>
        </w:rPr>
        <w:t xml:space="preserve"> changing over time</w:t>
      </w:r>
      <w:r w:rsidR="00E244E1">
        <w:rPr>
          <w:lang w:val="en-US"/>
        </w:rPr>
        <w:t xml:space="preserve">. Due to the TA reporting is based on TA change threshold (i.e. </w:t>
      </w:r>
      <w:r w:rsidR="00E244E1" w:rsidRPr="00371960">
        <w:rPr>
          <w:lang w:val="en-US"/>
        </w:rPr>
        <w:t>the TA change between current UE-estimated TA and the last successfully reported TA</w:t>
      </w:r>
      <w:r w:rsidR="00E244E1">
        <w:rPr>
          <w:lang w:val="en-US"/>
        </w:rPr>
        <w:t xml:space="preserve">), </w:t>
      </w:r>
      <w:r w:rsidR="00362328">
        <w:rPr>
          <w:lang w:val="en-US"/>
        </w:rPr>
        <w:t>all the connected UEs have to periodically report its TA because the satellite is moving even the UE itself is stationary.</w:t>
      </w:r>
      <w:r w:rsidR="00D618AF">
        <w:rPr>
          <w:lang w:val="en-US"/>
        </w:rPr>
        <w:t xml:space="preserve"> </w:t>
      </w:r>
      <w:r w:rsidR="0015282E">
        <w:rPr>
          <w:lang w:val="en-US"/>
        </w:rPr>
        <w:t>Considering th</w:t>
      </w:r>
      <w:r w:rsidR="000774AC">
        <w:rPr>
          <w:lang w:val="en-US"/>
        </w:rPr>
        <w:t xml:space="preserve">e maximum beam </w:t>
      </w:r>
      <w:r w:rsidR="00034F2E">
        <w:rPr>
          <w:lang w:val="en-US"/>
        </w:rPr>
        <w:t>footprint</w:t>
      </w:r>
      <w:r w:rsidR="000774AC">
        <w:rPr>
          <w:lang w:val="en-US"/>
        </w:rPr>
        <w:t xml:space="preserve"> size is 1000km as defined in 38.821, there</w:t>
      </w:r>
      <w:r w:rsidR="00034F2E">
        <w:rPr>
          <w:lang w:val="en-US"/>
        </w:rPr>
        <w:t xml:space="preserve"> are</w:t>
      </w:r>
      <w:r w:rsidR="0078407D">
        <w:rPr>
          <w:lang w:val="en-US"/>
        </w:rPr>
        <w:t xml:space="preserve"> huge number of UEs under the same satellite cell coverage. </w:t>
      </w:r>
      <w:r w:rsidR="00034F2E">
        <w:rPr>
          <w:lang w:val="en-US"/>
        </w:rPr>
        <w:t xml:space="preserve">Among them most of UEs in connected state may </w:t>
      </w:r>
      <w:r w:rsidR="00B62BCC">
        <w:rPr>
          <w:lang w:val="en-US"/>
        </w:rPr>
        <w:t xml:space="preserve">not </w:t>
      </w:r>
      <w:r w:rsidR="001E19F4">
        <w:rPr>
          <w:lang w:val="en-US"/>
        </w:rPr>
        <w:t>have UL-SCH resource</w:t>
      </w:r>
      <w:r w:rsidR="00ED4299">
        <w:rPr>
          <w:lang w:val="en-US"/>
        </w:rPr>
        <w:t xml:space="preserve"> allocation</w:t>
      </w:r>
      <w:r w:rsidR="001E19F4">
        <w:rPr>
          <w:lang w:val="en-US"/>
        </w:rPr>
        <w:t xml:space="preserve"> </w:t>
      </w:r>
      <w:r w:rsidR="00AE6465">
        <w:rPr>
          <w:lang w:val="en-US"/>
        </w:rPr>
        <w:t>due to no</w:t>
      </w:r>
      <w:r w:rsidR="00034F2E">
        <w:rPr>
          <w:lang w:val="en-US"/>
        </w:rPr>
        <w:t xml:space="preserve"> data to send/receive. </w:t>
      </w:r>
      <w:r w:rsidR="004B650D">
        <w:rPr>
          <w:lang w:val="en-US"/>
        </w:rPr>
        <w:t>Triggering SR for TA reporting is a waste for those UEs who have no data to send/receive.</w:t>
      </w:r>
    </w:p>
    <w:p w14:paraId="353FFBFE" w14:textId="72F0CBDC" w:rsidR="00D42DC9" w:rsidRPr="00487F27" w:rsidRDefault="00D42DC9" w:rsidP="00D42DC9">
      <w:pPr>
        <w:rPr>
          <w:b/>
          <w:bCs/>
        </w:rPr>
      </w:pPr>
      <w:r w:rsidRPr="00487F27">
        <w:rPr>
          <w:b/>
          <w:bCs/>
        </w:rPr>
        <w:t xml:space="preserve">Observation </w:t>
      </w:r>
      <w:r w:rsidR="00FD1D25">
        <w:rPr>
          <w:b/>
          <w:bCs/>
        </w:rPr>
        <w:t>3</w:t>
      </w:r>
      <w:r w:rsidRPr="00487F27">
        <w:rPr>
          <w:b/>
          <w:bCs/>
        </w:rPr>
        <w:t xml:space="preserve">: </w:t>
      </w:r>
      <w:r w:rsidR="003674F0" w:rsidRPr="00487F27">
        <w:rPr>
          <w:b/>
          <w:bCs/>
        </w:rPr>
        <w:t>There is significant UL overhead</w:t>
      </w:r>
      <w:r w:rsidR="00401B72" w:rsidRPr="00487F27">
        <w:rPr>
          <w:b/>
          <w:bCs/>
        </w:rPr>
        <w:t xml:space="preserve"> </w:t>
      </w:r>
      <w:r w:rsidR="00487F27" w:rsidRPr="00487F27">
        <w:rPr>
          <w:b/>
          <w:bCs/>
        </w:rPr>
        <w:t xml:space="preserve">if SR </w:t>
      </w:r>
      <w:r w:rsidR="00487F27">
        <w:rPr>
          <w:b/>
          <w:bCs/>
        </w:rPr>
        <w:t>has to be</w:t>
      </w:r>
      <w:r w:rsidR="00487F27" w:rsidRPr="00487F27">
        <w:rPr>
          <w:b/>
          <w:bCs/>
        </w:rPr>
        <w:t xml:space="preserve"> triggered for UE wh</w:t>
      </w:r>
      <w:r w:rsidR="00487F27">
        <w:rPr>
          <w:b/>
          <w:bCs/>
        </w:rPr>
        <w:t>o has</w:t>
      </w:r>
      <w:r w:rsidR="00487F27" w:rsidRPr="00487F27">
        <w:rPr>
          <w:b/>
          <w:bCs/>
          <w:lang w:val="en-US"/>
        </w:rPr>
        <w:t xml:space="preserve"> no UL-SCH resources for the triggered TA reporting</w:t>
      </w:r>
      <w:r w:rsidR="00487F27" w:rsidRPr="00487F27">
        <w:rPr>
          <w:b/>
          <w:bCs/>
        </w:rPr>
        <w:t>.</w:t>
      </w:r>
    </w:p>
    <w:p w14:paraId="197F7CB4" w14:textId="7EAC82F4" w:rsidR="00D42DC9" w:rsidRDefault="00601D3F" w:rsidP="002B184B">
      <w:pPr>
        <w:rPr>
          <w:iCs/>
          <w:lang w:val="en-US"/>
        </w:rPr>
      </w:pPr>
      <w:r>
        <w:t xml:space="preserve">Some companies argue that prohibit timer </w:t>
      </w:r>
      <w:r w:rsidR="001C2C04">
        <w:t xml:space="preserve">or relatively large TA reporting threshold can address the issue of </w:t>
      </w:r>
      <w:r w:rsidR="00D5475D">
        <w:t xml:space="preserve">UL overhead. We don’t agree that. </w:t>
      </w:r>
      <w:r w:rsidR="00855E5F">
        <w:rPr>
          <w:rFonts w:eastAsia="等线"/>
          <w:iCs/>
        </w:rPr>
        <w:t xml:space="preserve">If there is some kind of prohibition timer introduced to avoid frequent reporting, it means the TA update cannot happen in time which cannot address the TA outdate issue for PUCCH feedback. Furthermore, if </w:t>
      </w:r>
      <w:r w:rsidR="00855E5F">
        <w:rPr>
          <w:rFonts w:hint="eastAsia"/>
          <w:iCs/>
          <w:lang w:val="en-US"/>
        </w:rPr>
        <w:t xml:space="preserve">NW configures a relatively large UE-specific </w:t>
      </w:r>
      <w:proofErr w:type="spellStart"/>
      <w:r w:rsidR="00855E5F">
        <w:rPr>
          <w:rFonts w:hint="eastAsia"/>
          <w:iCs/>
          <w:lang w:val="en-US"/>
        </w:rPr>
        <w:t>K_offset</w:t>
      </w:r>
      <w:proofErr w:type="spellEnd"/>
      <w:r w:rsidR="00855E5F">
        <w:rPr>
          <w:iCs/>
          <w:lang w:val="en-US"/>
        </w:rPr>
        <w:t xml:space="preserve"> (and large TA reporting threshold), it cannot solve the issue but only mitigate the issue. There are still many UEs which maintain the TA </w:t>
      </w:r>
      <w:r w:rsidR="006C7EFB">
        <w:rPr>
          <w:iCs/>
          <w:lang w:val="en-US"/>
        </w:rPr>
        <w:t>reports,</w:t>
      </w:r>
      <w:r w:rsidR="00855E5F">
        <w:rPr>
          <w:iCs/>
          <w:lang w:val="en-US"/>
        </w:rPr>
        <w:t xml:space="preserve"> but it is useless since UE has no data to send/receive. However, the large TA reporting threshold will also reduce the gain of reporting UE-specific TA (</w:t>
      </w:r>
      <w:r w:rsidR="007A2CAD">
        <w:rPr>
          <w:iCs/>
          <w:lang w:val="en-US"/>
        </w:rPr>
        <w:t xml:space="preserve">i.e. </w:t>
      </w:r>
      <w:r w:rsidR="00855E5F">
        <w:rPr>
          <w:iCs/>
          <w:lang w:val="en-US"/>
        </w:rPr>
        <w:t xml:space="preserve">to reduce scheduling delay via proper </w:t>
      </w:r>
      <w:r w:rsidR="00FB6DC3">
        <w:rPr>
          <w:iCs/>
          <w:lang w:val="en-US"/>
        </w:rPr>
        <w:t xml:space="preserve">UE-specific </w:t>
      </w:r>
      <w:proofErr w:type="spellStart"/>
      <w:r w:rsidR="00855E5F">
        <w:rPr>
          <w:iCs/>
          <w:lang w:val="en-US"/>
        </w:rPr>
        <w:t>K_offset</w:t>
      </w:r>
      <w:proofErr w:type="spellEnd"/>
      <w:r w:rsidR="00855E5F">
        <w:rPr>
          <w:iCs/>
          <w:lang w:val="en-US"/>
        </w:rPr>
        <w:t xml:space="preserve"> configuration) which is not the intention of TA reporting.</w:t>
      </w:r>
    </w:p>
    <w:p w14:paraId="300E5720" w14:textId="3B28C0A7" w:rsidR="006C7EFB" w:rsidRPr="00487F27" w:rsidRDefault="006C7EFB" w:rsidP="006C7EFB">
      <w:pPr>
        <w:rPr>
          <w:b/>
          <w:bCs/>
        </w:rPr>
      </w:pPr>
      <w:r w:rsidRPr="00487F27">
        <w:rPr>
          <w:b/>
          <w:bCs/>
        </w:rPr>
        <w:t xml:space="preserve">Observation </w:t>
      </w:r>
      <w:r w:rsidR="00FD1D25">
        <w:rPr>
          <w:b/>
          <w:bCs/>
        </w:rPr>
        <w:t>4</w:t>
      </w:r>
      <w:r w:rsidRPr="00487F27">
        <w:rPr>
          <w:b/>
          <w:bCs/>
        </w:rPr>
        <w:t xml:space="preserve">: </w:t>
      </w:r>
      <w:r w:rsidR="00A86073">
        <w:rPr>
          <w:b/>
          <w:bCs/>
        </w:rPr>
        <w:t>P</w:t>
      </w:r>
      <w:r w:rsidR="00A86073" w:rsidRPr="00A86073">
        <w:rPr>
          <w:b/>
          <w:bCs/>
        </w:rPr>
        <w:t>rohibit timer or relatively large TA reporting threshold can</w:t>
      </w:r>
      <w:r w:rsidR="00CD44D9">
        <w:rPr>
          <w:b/>
          <w:bCs/>
        </w:rPr>
        <w:t xml:space="preserve"> not</w:t>
      </w:r>
      <w:r w:rsidR="00A86073" w:rsidRPr="00A86073">
        <w:rPr>
          <w:b/>
          <w:bCs/>
        </w:rPr>
        <w:t xml:space="preserve"> address the issue of UL overhead</w:t>
      </w:r>
      <w:r w:rsidR="00125372">
        <w:rPr>
          <w:b/>
          <w:bCs/>
        </w:rPr>
        <w:t xml:space="preserve"> caused by useless TA reporting</w:t>
      </w:r>
      <w:r w:rsidRPr="00487F27">
        <w:rPr>
          <w:b/>
          <w:bCs/>
        </w:rPr>
        <w:t>.</w:t>
      </w:r>
    </w:p>
    <w:p w14:paraId="28E3CC02" w14:textId="755B510C" w:rsidR="00FF4E31" w:rsidRDefault="00FF4E31" w:rsidP="00FF4E31">
      <w:pPr>
        <w:rPr>
          <w:lang w:val="en-US"/>
        </w:rPr>
      </w:pPr>
      <w:r w:rsidRPr="3A62C416">
        <w:rPr>
          <w:lang w:val="en-US"/>
        </w:rPr>
        <w:t xml:space="preserve">Especially for IoT NTN, maintaining the TA reporting for all UEs via SR is not realistic because of the requirements on </w:t>
      </w:r>
      <w:r w:rsidR="00112E76" w:rsidRPr="3A62C416">
        <w:rPr>
          <w:lang w:val="en-US"/>
        </w:rPr>
        <w:t xml:space="preserve">channel </w:t>
      </w:r>
      <w:r w:rsidRPr="3A62C416">
        <w:rPr>
          <w:lang w:val="en-US"/>
        </w:rPr>
        <w:t xml:space="preserve">repetitions and the quite limited bandwidth. </w:t>
      </w:r>
    </w:p>
    <w:p w14:paraId="367BA322" w14:textId="562FEBBE" w:rsidR="00112E76" w:rsidRPr="009135E3" w:rsidRDefault="00112E76" w:rsidP="00112E76">
      <w:pPr>
        <w:rPr>
          <w:b/>
          <w:bCs/>
          <w:lang w:val="en-US"/>
        </w:rPr>
      </w:pPr>
      <w:r w:rsidRPr="009135E3">
        <w:rPr>
          <w:b/>
          <w:bCs/>
          <w:lang w:val="en-US"/>
        </w:rPr>
        <w:t xml:space="preserve">Proposal </w:t>
      </w:r>
      <w:r w:rsidR="00414E0C" w:rsidRPr="009135E3">
        <w:rPr>
          <w:b/>
          <w:bCs/>
          <w:lang w:val="en-US"/>
        </w:rPr>
        <w:t>3</w:t>
      </w:r>
      <w:r w:rsidRPr="009135E3">
        <w:rPr>
          <w:b/>
          <w:bCs/>
          <w:lang w:val="en-US"/>
        </w:rPr>
        <w:t xml:space="preserve">: </w:t>
      </w:r>
      <w:r w:rsidR="009135E3" w:rsidRPr="009135E3">
        <w:rPr>
          <w:b/>
          <w:bCs/>
          <w:lang w:val="en-US"/>
        </w:rPr>
        <w:t>SR should not be triggered if there is no available or sufficient UL-SCH resources for the triggered TA reporting</w:t>
      </w:r>
      <w:r w:rsidRPr="009135E3">
        <w:rPr>
          <w:b/>
          <w:bCs/>
          <w:lang w:val="en-US"/>
        </w:rPr>
        <w:t>.</w:t>
      </w:r>
    </w:p>
    <w:p w14:paraId="5FF2457F" w14:textId="2F38562C" w:rsidR="00A209D6" w:rsidRPr="006E13D1" w:rsidRDefault="00CB4857" w:rsidP="00A209D6">
      <w:pPr>
        <w:pStyle w:val="Heading1"/>
      </w:pPr>
      <w:r>
        <w:t>3</w:t>
      </w:r>
      <w:r w:rsidR="00A209D6" w:rsidRPr="006E13D1">
        <w:tab/>
      </w:r>
      <w:r w:rsidR="008C3057">
        <w:t>Conclusion</w:t>
      </w:r>
    </w:p>
    <w:p w14:paraId="7B7240A4" w14:textId="13C83FA6" w:rsidR="004F73A7" w:rsidRPr="006E13D1" w:rsidRDefault="004F73A7" w:rsidP="00A209D6">
      <w:r>
        <w:t>This document has made</w:t>
      </w:r>
      <w:r w:rsidR="004F4540">
        <w:t xml:space="preserve"> the following observations:</w:t>
      </w:r>
    </w:p>
    <w:p w14:paraId="3FB9FA32" w14:textId="77777777" w:rsidR="003F577D" w:rsidRPr="00A81917" w:rsidRDefault="003F577D" w:rsidP="003F577D">
      <w:pPr>
        <w:rPr>
          <w:b/>
          <w:bCs/>
        </w:rPr>
      </w:pPr>
      <w:r w:rsidRPr="00A81917">
        <w:rPr>
          <w:b/>
          <w:bCs/>
        </w:rPr>
        <w:t>Observation 1: without additional parameter linking satellite position to radio coverage on Earth the UE cannot determine future coverage window(s).</w:t>
      </w:r>
    </w:p>
    <w:p w14:paraId="5CC03491" w14:textId="77777777" w:rsidR="003F577D" w:rsidRPr="007A2CAD" w:rsidRDefault="003F577D" w:rsidP="003F577D">
      <w:pPr>
        <w:rPr>
          <w:b/>
          <w:bCs/>
          <w:lang w:val="en-US" w:eastAsia="zh-CN"/>
        </w:rPr>
      </w:pPr>
      <w:r>
        <w:rPr>
          <w:b/>
          <w:bCs/>
          <w:lang w:val="en-US" w:eastAsia="zh-CN"/>
        </w:rPr>
        <w:lastRenderedPageBreak/>
        <w:t>Observation 2: RAN2 can continue to work on optimized support for discontinuous coverage in future releases.</w:t>
      </w:r>
    </w:p>
    <w:p w14:paraId="54AD87CD" w14:textId="77777777" w:rsidR="003F577D" w:rsidRPr="00487F27" w:rsidRDefault="003F577D" w:rsidP="003F577D">
      <w:pPr>
        <w:rPr>
          <w:b/>
          <w:bCs/>
        </w:rPr>
      </w:pPr>
      <w:r w:rsidRPr="00487F27">
        <w:rPr>
          <w:b/>
          <w:bCs/>
        </w:rPr>
        <w:t xml:space="preserve">Observation </w:t>
      </w:r>
      <w:r>
        <w:rPr>
          <w:b/>
          <w:bCs/>
        </w:rPr>
        <w:t>3</w:t>
      </w:r>
      <w:r w:rsidRPr="00487F27">
        <w:rPr>
          <w:b/>
          <w:bCs/>
        </w:rPr>
        <w:t xml:space="preserve">: There is significant UL overhead if SR </w:t>
      </w:r>
      <w:r>
        <w:rPr>
          <w:b/>
          <w:bCs/>
        </w:rPr>
        <w:t>has to be</w:t>
      </w:r>
      <w:r w:rsidRPr="00487F27">
        <w:rPr>
          <w:b/>
          <w:bCs/>
        </w:rPr>
        <w:t xml:space="preserve"> triggered for UE wh</w:t>
      </w:r>
      <w:r>
        <w:rPr>
          <w:b/>
          <w:bCs/>
        </w:rPr>
        <w:t>o has</w:t>
      </w:r>
      <w:r w:rsidRPr="00487F27">
        <w:rPr>
          <w:b/>
          <w:bCs/>
          <w:lang w:val="en-US"/>
        </w:rPr>
        <w:t xml:space="preserve"> no UL-SCH resources for the triggered TA reporting</w:t>
      </w:r>
      <w:r w:rsidRPr="00487F27">
        <w:rPr>
          <w:b/>
          <w:bCs/>
        </w:rPr>
        <w:t>.</w:t>
      </w:r>
    </w:p>
    <w:p w14:paraId="203F973F" w14:textId="77777777" w:rsidR="003F577D" w:rsidRPr="00487F27" w:rsidRDefault="003F577D" w:rsidP="003F577D">
      <w:pPr>
        <w:rPr>
          <w:b/>
          <w:bCs/>
        </w:rPr>
      </w:pPr>
      <w:r w:rsidRPr="00487F27">
        <w:rPr>
          <w:b/>
          <w:bCs/>
        </w:rPr>
        <w:t xml:space="preserve">Observation </w:t>
      </w:r>
      <w:r>
        <w:rPr>
          <w:b/>
          <w:bCs/>
        </w:rPr>
        <w:t>4</w:t>
      </w:r>
      <w:r w:rsidRPr="00487F27">
        <w:rPr>
          <w:b/>
          <w:bCs/>
        </w:rPr>
        <w:t xml:space="preserve">: </w:t>
      </w:r>
      <w:r>
        <w:rPr>
          <w:b/>
          <w:bCs/>
        </w:rPr>
        <w:t>P</w:t>
      </w:r>
      <w:r w:rsidRPr="00A86073">
        <w:rPr>
          <w:b/>
          <w:bCs/>
        </w:rPr>
        <w:t>rohibit timer or relatively large TA reporting threshold can</w:t>
      </w:r>
      <w:r>
        <w:rPr>
          <w:b/>
          <w:bCs/>
        </w:rPr>
        <w:t xml:space="preserve"> not</w:t>
      </w:r>
      <w:r w:rsidRPr="00A86073">
        <w:rPr>
          <w:b/>
          <w:bCs/>
        </w:rPr>
        <w:t xml:space="preserve"> address the issue of UL overhead</w:t>
      </w:r>
      <w:r>
        <w:rPr>
          <w:b/>
          <w:bCs/>
        </w:rPr>
        <w:t xml:space="preserve"> caused by useless TA reporting</w:t>
      </w:r>
      <w:r w:rsidRPr="00487F27">
        <w:rPr>
          <w:b/>
          <w:bCs/>
        </w:rPr>
        <w:t>.</w:t>
      </w:r>
    </w:p>
    <w:p w14:paraId="455F9842" w14:textId="3BA2EC37" w:rsidR="004F4540" w:rsidRPr="004F4540" w:rsidRDefault="004F4540" w:rsidP="004F73A7">
      <w:pPr>
        <w:rPr>
          <w:bCs/>
        </w:rPr>
      </w:pPr>
      <w:r>
        <w:rPr>
          <w:bCs/>
        </w:rPr>
        <w:t>And proposed the following:</w:t>
      </w:r>
    </w:p>
    <w:p w14:paraId="3B075217" w14:textId="77777777" w:rsidR="003F577D" w:rsidRPr="00151A45" w:rsidRDefault="003F577D" w:rsidP="003F577D">
      <w:pPr>
        <w:rPr>
          <w:b/>
          <w:bCs/>
          <w:lang w:val="en-US"/>
        </w:rPr>
      </w:pPr>
      <w:r w:rsidRPr="3C779209">
        <w:rPr>
          <w:b/>
          <w:bCs/>
          <w:lang w:val="en-US"/>
        </w:rPr>
        <w:t>Proposal 1: RAN2 to define signaling a satellite’s footprint (coverage radius) as part of SIB. Optionally, the coverage center reference point can also be provided</w:t>
      </w:r>
      <w:r>
        <w:rPr>
          <w:b/>
          <w:bCs/>
          <w:lang w:val="en-US"/>
        </w:rPr>
        <w:t xml:space="preserve"> if it is not indicating nadir</w:t>
      </w:r>
      <w:r w:rsidRPr="3C779209">
        <w:rPr>
          <w:b/>
          <w:bCs/>
          <w:lang w:val="en-US"/>
        </w:rPr>
        <w:t>.</w:t>
      </w:r>
    </w:p>
    <w:p w14:paraId="22E50CD5" w14:textId="77777777" w:rsidR="003F577D" w:rsidRPr="00C422B1" w:rsidRDefault="003F577D" w:rsidP="003F577D">
      <w:pPr>
        <w:rPr>
          <w:b/>
          <w:bCs/>
        </w:rPr>
      </w:pPr>
      <w:r w:rsidRPr="007019D6">
        <w:rPr>
          <w:b/>
          <w:bCs/>
          <w:lang w:val="en-US"/>
        </w:rPr>
        <w:t>Proposal</w:t>
      </w:r>
      <w:r>
        <w:rPr>
          <w:b/>
          <w:bCs/>
          <w:lang w:val="en-US"/>
        </w:rPr>
        <w:t xml:space="preserve"> 2</w:t>
      </w:r>
      <w:r w:rsidRPr="007019D6">
        <w:rPr>
          <w:b/>
          <w:bCs/>
          <w:lang w:val="en-US"/>
        </w:rPr>
        <w:t xml:space="preserve">: RAN2 to </w:t>
      </w:r>
      <w:r>
        <w:rPr>
          <w:b/>
          <w:bCs/>
          <w:lang w:val="en-US"/>
        </w:rPr>
        <w:t>define a basic solution for</w:t>
      </w:r>
      <w:r w:rsidRPr="007019D6">
        <w:rPr>
          <w:b/>
          <w:bCs/>
          <w:lang w:val="en-US"/>
        </w:rPr>
        <w:t xml:space="preserve"> discontinuous coverage support in the release 17.</w:t>
      </w:r>
    </w:p>
    <w:p w14:paraId="1C006265" w14:textId="77777777" w:rsidR="003F577D" w:rsidRPr="009135E3" w:rsidRDefault="003F577D" w:rsidP="003F577D">
      <w:pPr>
        <w:rPr>
          <w:b/>
          <w:bCs/>
          <w:lang w:val="en-US"/>
        </w:rPr>
      </w:pPr>
      <w:r w:rsidRPr="009135E3">
        <w:rPr>
          <w:b/>
          <w:bCs/>
          <w:lang w:val="en-US"/>
        </w:rPr>
        <w:t>Proposal 3: SR should not be triggered if there is no available or sufficient UL-SCH resources for the triggered TA reporting.</w:t>
      </w:r>
    </w:p>
    <w:p w14:paraId="0261AD3D" w14:textId="77777777" w:rsidR="00D21C7F" w:rsidRPr="00C43A3C" w:rsidRDefault="00D21C7F" w:rsidP="00D21C7F">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783F9F40" w14:textId="38FEB82B" w:rsidR="00D21C7F" w:rsidRDefault="00D21C7F" w:rsidP="00D21C7F">
      <w:r w:rsidRPr="00C43A3C">
        <w:t>[</w:t>
      </w:r>
      <w:r>
        <w:t>1</w:t>
      </w:r>
      <w:r w:rsidRPr="00C43A3C">
        <w:t xml:space="preserve">] </w:t>
      </w:r>
      <w:r w:rsidR="00DA670F" w:rsidRPr="00DA670F">
        <w:t>R2-2202053 Summary of [Post116bis-e][</w:t>
      </w:r>
      <w:proofErr w:type="gramStart"/>
      <w:r w:rsidR="00DA670F" w:rsidRPr="00DA670F">
        <w:t>089][</w:t>
      </w:r>
      <w:proofErr w:type="gramEnd"/>
      <w:r w:rsidR="00DA670F" w:rsidRPr="00DA670F">
        <w:t>IoT-NTN] Open Issues, MediaTek</w:t>
      </w:r>
    </w:p>
    <w:p w14:paraId="653EED19" w14:textId="2EB277A0" w:rsidR="00A209D6" w:rsidRPr="00CD4C7B" w:rsidRDefault="0060202F" w:rsidP="00A209D6">
      <w:r>
        <w:t xml:space="preserve">[2] </w:t>
      </w:r>
      <w:r w:rsidRPr="0060202F">
        <w:t>R2-2201755 Summary of [AT116bis][</w:t>
      </w:r>
      <w:proofErr w:type="gramStart"/>
      <w:r w:rsidRPr="0060202F">
        <w:t>101][</w:t>
      </w:r>
      <w:proofErr w:type="gramEnd"/>
      <w:r w:rsidRPr="0060202F">
        <w:t>NTN] RACH aspects, OPPO</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E5B57" w14:textId="77777777" w:rsidR="00BD57F0" w:rsidRDefault="00BD57F0">
      <w:r>
        <w:separator/>
      </w:r>
    </w:p>
  </w:endnote>
  <w:endnote w:type="continuationSeparator" w:id="0">
    <w:p w14:paraId="215A0B15" w14:textId="77777777" w:rsidR="00BD57F0" w:rsidRDefault="00BD57F0">
      <w:r>
        <w:continuationSeparator/>
      </w:r>
    </w:p>
  </w:endnote>
  <w:endnote w:type="continuationNotice" w:id="1">
    <w:p w14:paraId="2C32EEF1" w14:textId="77777777" w:rsidR="00BD57F0" w:rsidRDefault="00BD5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8E741" w14:textId="77777777" w:rsidR="00BD57F0" w:rsidRDefault="00BD57F0">
      <w:r>
        <w:separator/>
      </w:r>
    </w:p>
  </w:footnote>
  <w:footnote w:type="continuationSeparator" w:id="0">
    <w:p w14:paraId="16F034DB" w14:textId="77777777" w:rsidR="00BD57F0" w:rsidRDefault="00BD57F0">
      <w:r>
        <w:continuationSeparator/>
      </w:r>
    </w:p>
  </w:footnote>
  <w:footnote w:type="continuationNotice" w:id="1">
    <w:p w14:paraId="62CADEFF" w14:textId="77777777" w:rsidR="00BD57F0" w:rsidRDefault="00BD57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E3F9A"/>
    <w:multiLevelType w:val="hybridMultilevel"/>
    <w:tmpl w:val="855E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857C5"/>
    <w:multiLevelType w:val="hybridMultilevel"/>
    <w:tmpl w:val="B89CBCAA"/>
    <w:lvl w:ilvl="0" w:tplc="6D8890F8">
      <w:start w:val="1"/>
      <w:numFmt w:val="bullet"/>
      <w:lvlText w:val="•"/>
      <w:lvlJc w:val="left"/>
      <w:pPr>
        <w:tabs>
          <w:tab w:val="num" w:pos="720"/>
        </w:tabs>
        <w:ind w:left="720" w:hanging="360"/>
      </w:pPr>
      <w:rPr>
        <w:rFonts w:ascii="Arial" w:hAnsi="Arial" w:hint="default"/>
      </w:rPr>
    </w:lvl>
    <w:lvl w:ilvl="1" w:tplc="E6BC6EBA" w:tentative="1">
      <w:start w:val="1"/>
      <w:numFmt w:val="bullet"/>
      <w:lvlText w:val="•"/>
      <w:lvlJc w:val="left"/>
      <w:pPr>
        <w:tabs>
          <w:tab w:val="num" w:pos="1440"/>
        </w:tabs>
        <w:ind w:left="1440" w:hanging="360"/>
      </w:pPr>
      <w:rPr>
        <w:rFonts w:ascii="Arial" w:hAnsi="Arial" w:hint="default"/>
      </w:rPr>
    </w:lvl>
    <w:lvl w:ilvl="2" w:tplc="4CB4FFB4">
      <w:start w:val="1"/>
      <w:numFmt w:val="bullet"/>
      <w:lvlText w:val="•"/>
      <w:lvlJc w:val="left"/>
      <w:pPr>
        <w:tabs>
          <w:tab w:val="num" w:pos="2160"/>
        </w:tabs>
        <w:ind w:left="2160" w:hanging="360"/>
      </w:pPr>
      <w:rPr>
        <w:rFonts w:ascii="Arial" w:hAnsi="Arial" w:hint="default"/>
      </w:rPr>
    </w:lvl>
    <w:lvl w:ilvl="3" w:tplc="32A406BA" w:tentative="1">
      <w:start w:val="1"/>
      <w:numFmt w:val="bullet"/>
      <w:lvlText w:val="•"/>
      <w:lvlJc w:val="left"/>
      <w:pPr>
        <w:tabs>
          <w:tab w:val="num" w:pos="2880"/>
        </w:tabs>
        <w:ind w:left="2880" w:hanging="360"/>
      </w:pPr>
      <w:rPr>
        <w:rFonts w:ascii="Arial" w:hAnsi="Arial" w:hint="default"/>
      </w:rPr>
    </w:lvl>
    <w:lvl w:ilvl="4" w:tplc="4C221FD6" w:tentative="1">
      <w:start w:val="1"/>
      <w:numFmt w:val="bullet"/>
      <w:lvlText w:val="•"/>
      <w:lvlJc w:val="left"/>
      <w:pPr>
        <w:tabs>
          <w:tab w:val="num" w:pos="3600"/>
        </w:tabs>
        <w:ind w:left="3600" w:hanging="360"/>
      </w:pPr>
      <w:rPr>
        <w:rFonts w:ascii="Arial" w:hAnsi="Arial" w:hint="default"/>
      </w:rPr>
    </w:lvl>
    <w:lvl w:ilvl="5" w:tplc="DA2A07F0" w:tentative="1">
      <w:start w:val="1"/>
      <w:numFmt w:val="bullet"/>
      <w:lvlText w:val="•"/>
      <w:lvlJc w:val="left"/>
      <w:pPr>
        <w:tabs>
          <w:tab w:val="num" w:pos="4320"/>
        </w:tabs>
        <w:ind w:left="4320" w:hanging="360"/>
      </w:pPr>
      <w:rPr>
        <w:rFonts w:ascii="Arial" w:hAnsi="Arial" w:hint="default"/>
      </w:rPr>
    </w:lvl>
    <w:lvl w:ilvl="6" w:tplc="CFAA3FD6" w:tentative="1">
      <w:start w:val="1"/>
      <w:numFmt w:val="bullet"/>
      <w:lvlText w:val="•"/>
      <w:lvlJc w:val="left"/>
      <w:pPr>
        <w:tabs>
          <w:tab w:val="num" w:pos="5040"/>
        </w:tabs>
        <w:ind w:left="5040" w:hanging="360"/>
      </w:pPr>
      <w:rPr>
        <w:rFonts w:ascii="Arial" w:hAnsi="Arial" w:hint="default"/>
      </w:rPr>
    </w:lvl>
    <w:lvl w:ilvl="7" w:tplc="585C15BA" w:tentative="1">
      <w:start w:val="1"/>
      <w:numFmt w:val="bullet"/>
      <w:lvlText w:val="•"/>
      <w:lvlJc w:val="left"/>
      <w:pPr>
        <w:tabs>
          <w:tab w:val="num" w:pos="5760"/>
        </w:tabs>
        <w:ind w:left="5760" w:hanging="360"/>
      </w:pPr>
      <w:rPr>
        <w:rFonts w:ascii="Arial" w:hAnsi="Arial" w:hint="default"/>
      </w:rPr>
    </w:lvl>
    <w:lvl w:ilvl="8" w:tplc="CC821D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D26839"/>
    <w:multiLevelType w:val="hybridMultilevel"/>
    <w:tmpl w:val="3ABC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5E540B"/>
    <w:multiLevelType w:val="hybridMultilevel"/>
    <w:tmpl w:val="EA623D7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2"/>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34F2E"/>
    <w:rsid w:val="00040095"/>
    <w:rsid w:val="00065268"/>
    <w:rsid w:val="00066EA0"/>
    <w:rsid w:val="00073C9C"/>
    <w:rsid w:val="000774AC"/>
    <w:rsid w:val="00080512"/>
    <w:rsid w:val="00090468"/>
    <w:rsid w:val="00094568"/>
    <w:rsid w:val="000946C8"/>
    <w:rsid w:val="000A275C"/>
    <w:rsid w:val="000B4045"/>
    <w:rsid w:val="000B7636"/>
    <w:rsid w:val="000B7BCF"/>
    <w:rsid w:val="000C522B"/>
    <w:rsid w:val="000C6FA8"/>
    <w:rsid w:val="000D58AB"/>
    <w:rsid w:val="000D7FF4"/>
    <w:rsid w:val="000F4C23"/>
    <w:rsid w:val="00103AEC"/>
    <w:rsid w:val="00112E76"/>
    <w:rsid w:val="00112F1A"/>
    <w:rsid w:val="00125372"/>
    <w:rsid w:val="00145075"/>
    <w:rsid w:val="00151A45"/>
    <w:rsid w:val="0015282E"/>
    <w:rsid w:val="00155E98"/>
    <w:rsid w:val="001563BA"/>
    <w:rsid w:val="00165F88"/>
    <w:rsid w:val="001741A0"/>
    <w:rsid w:val="00175FA0"/>
    <w:rsid w:val="00184D21"/>
    <w:rsid w:val="00194CD0"/>
    <w:rsid w:val="001B34FE"/>
    <w:rsid w:val="001B3EC2"/>
    <w:rsid w:val="001B49C9"/>
    <w:rsid w:val="001C23F4"/>
    <w:rsid w:val="001C2C04"/>
    <w:rsid w:val="001C3ABC"/>
    <w:rsid w:val="001C4F79"/>
    <w:rsid w:val="001E19F4"/>
    <w:rsid w:val="001F168B"/>
    <w:rsid w:val="001F7831"/>
    <w:rsid w:val="00204045"/>
    <w:rsid w:val="0020712B"/>
    <w:rsid w:val="002073EE"/>
    <w:rsid w:val="00207D09"/>
    <w:rsid w:val="0022606D"/>
    <w:rsid w:val="00231728"/>
    <w:rsid w:val="00236A28"/>
    <w:rsid w:val="002375FF"/>
    <w:rsid w:val="002420B7"/>
    <w:rsid w:val="00244A05"/>
    <w:rsid w:val="00250404"/>
    <w:rsid w:val="00253B2C"/>
    <w:rsid w:val="00254FF6"/>
    <w:rsid w:val="002610D8"/>
    <w:rsid w:val="0026648B"/>
    <w:rsid w:val="00273B75"/>
    <w:rsid w:val="002747EC"/>
    <w:rsid w:val="002855BF"/>
    <w:rsid w:val="002B184B"/>
    <w:rsid w:val="002C57A0"/>
    <w:rsid w:val="002F0D22"/>
    <w:rsid w:val="00300AB7"/>
    <w:rsid w:val="00311B17"/>
    <w:rsid w:val="003172DC"/>
    <w:rsid w:val="00322DC2"/>
    <w:rsid w:val="00325312"/>
    <w:rsid w:val="00325AE3"/>
    <w:rsid w:val="00326069"/>
    <w:rsid w:val="0034107D"/>
    <w:rsid w:val="0035462D"/>
    <w:rsid w:val="00354BBD"/>
    <w:rsid w:val="00362328"/>
    <w:rsid w:val="0036459E"/>
    <w:rsid w:val="00364B41"/>
    <w:rsid w:val="003674F0"/>
    <w:rsid w:val="00371960"/>
    <w:rsid w:val="00383096"/>
    <w:rsid w:val="0039346C"/>
    <w:rsid w:val="003A41EF"/>
    <w:rsid w:val="003B33B0"/>
    <w:rsid w:val="003B40AD"/>
    <w:rsid w:val="003C4E37"/>
    <w:rsid w:val="003D2E72"/>
    <w:rsid w:val="003E16BE"/>
    <w:rsid w:val="003F4E28"/>
    <w:rsid w:val="003F577D"/>
    <w:rsid w:val="004006E8"/>
    <w:rsid w:val="00401855"/>
    <w:rsid w:val="00401B72"/>
    <w:rsid w:val="0040577E"/>
    <w:rsid w:val="00414E0C"/>
    <w:rsid w:val="0042252E"/>
    <w:rsid w:val="00442628"/>
    <w:rsid w:val="004545DB"/>
    <w:rsid w:val="00465587"/>
    <w:rsid w:val="00477455"/>
    <w:rsid w:val="004826BE"/>
    <w:rsid w:val="00485145"/>
    <w:rsid w:val="00487F27"/>
    <w:rsid w:val="004941A6"/>
    <w:rsid w:val="004A1F7B"/>
    <w:rsid w:val="004B650D"/>
    <w:rsid w:val="004C4338"/>
    <w:rsid w:val="004C44D2"/>
    <w:rsid w:val="004D3578"/>
    <w:rsid w:val="004D380D"/>
    <w:rsid w:val="004E213A"/>
    <w:rsid w:val="004F2850"/>
    <w:rsid w:val="004F31DA"/>
    <w:rsid w:val="004F4540"/>
    <w:rsid w:val="004F6995"/>
    <w:rsid w:val="004F73A7"/>
    <w:rsid w:val="00503171"/>
    <w:rsid w:val="00506C28"/>
    <w:rsid w:val="00534DA0"/>
    <w:rsid w:val="00543E6C"/>
    <w:rsid w:val="00565087"/>
    <w:rsid w:val="0056573F"/>
    <w:rsid w:val="00571279"/>
    <w:rsid w:val="00572277"/>
    <w:rsid w:val="00587E0B"/>
    <w:rsid w:val="005A49C6"/>
    <w:rsid w:val="00601D3F"/>
    <w:rsid w:val="0060202F"/>
    <w:rsid w:val="00604A3D"/>
    <w:rsid w:val="00611566"/>
    <w:rsid w:val="0061614A"/>
    <w:rsid w:val="00623120"/>
    <w:rsid w:val="00646D99"/>
    <w:rsid w:val="00656910"/>
    <w:rsid w:val="006574C0"/>
    <w:rsid w:val="00680E24"/>
    <w:rsid w:val="00696821"/>
    <w:rsid w:val="006A711B"/>
    <w:rsid w:val="006C3708"/>
    <w:rsid w:val="006C66D8"/>
    <w:rsid w:val="006C7EFB"/>
    <w:rsid w:val="006D1E24"/>
    <w:rsid w:val="006D35DE"/>
    <w:rsid w:val="006E1057"/>
    <w:rsid w:val="006E1417"/>
    <w:rsid w:val="006F6A2C"/>
    <w:rsid w:val="007019D6"/>
    <w:rsid w:val="007069DC"/>
    <w:rsid w:val="00710201"/>
    <w:rsid w:val="00715793"/>
    <w:rsid w:val="0072073A"/>
    <w:rsid w:val="007274B2"/>
    <w:rsid w:val="00731C4A"/>
    <w:rsid w:val="007342B5"/>
    <w:rsid w:val="00734A5B"/>
    <w:rsid w:val="00744E76"/>
    <w:rsid w:val="007520F5"/>
    <w:rsid w:val="007545B8"/>
    <w:rsid w:val="007568BF"/>
    <w:rsid w:val="00757D40"/>
    <w:rsid w:val="00761ED0"/>
    <w:rsid w:val="007662B5"/>
    <w:rsid w:val="007769CE"/>
    <w:rsid w:val="00781F0F"/>
    <w:rsid w:val="0078407D"/>
    <w:rsid w:val="0078727C"/>
    <w:rsid w:val="0079049D"/>
    <w:rsid w:val="00791281"/>
    <w:rsid w:val="00793DC5"/>
    <w:rsid w:val="00796823"/>
    <w:rsid w:val="007A2CAD"/>
    <w:rsid w:val="007A2E55"/>
    <w:rsid w:val="007B18D8"/>
    <w:rsid w:val="007B73E3"/>
    <w:rsid w:val="007C095F"/>
    <w:rsid w:val="007C2DD0"/>
    <w:rsid w:val="007F2E08"/>
    <w:rsid w:val="007F6372"/>
    <w:rsid w:val="008028A4"/>
    <w:rsid w:val="00813245"/>
    <w:rsid w:val="00836784"/>
    <w:rsid w:val="00837B1A"/>
    <w:rsid w:val="00840DE0"/>
    <w:rsid w:val="00855E5F"/>
    <w:rsid w:val="008607A8"/>
    <w:rsid w:val="0086354A"/>
    <w:rsid w:val="00866CE6"/>
    <w:rsid w:val="00873963"/>
    <w:rsid w:val="008768CA"/>
    <w:rsid w:val="00877EF9"/>
    <w:rsid w:val="00880559"/>
    <w:rsid w:val="008B5306"/>
    <w:rsid w:val="008C2E2A"/>
    <w:rsid w:val="008C3057"/>
    <w:rsid w:val="008C5977"/>
    <w:rsid w:val="008D2E4D"/>
    <w:rsid w:val="008D48BD"/>
    <w:rsid w:val="008D55F8"/>
    <w:rsid w:val="008E6C96"/>
    <w:rsid w:val="008F396F"/>
    <w:rsid w:val="008F3DCD"/>
    <w:rsid w:val="008F6D09"/>
    <w:rsid w:val="0090271F"/>
    <w:rsid w:val="00902DB9"/>
    <w:rsid w:val="0090466A"/>
    <w:rsid w:val="009135E3"/>
    <w:rsid w:val="00923655"/>
    <w:rsid w:val="00932BC0"/>
    <w:rsid w:val="00936071"/>
    <w:rsid w:val="009376CD"/>
    <w:rsid w:val="00940212"/>
    <w:rsid w:val="00942EC2"/>
    <w:rsid w:val="00945826"/>
    <w:rsid w:val="00951DEE"/>
    <w:rsid w:val="00956739"/>
    <w:rsid w:val="00961B32"/>
    <w:rsid w:val="00962509"/>
    <w:rsid w:val="00970DB3"/>
    <w:rsid w:val="00972C51"/>
    <w:rsid w:val="00974BB0"/>
    <w:rsid w:val="00975BCD"/>
    <w:rsid w:val="00977494"/>
    <w:rsid w:val="009928A9"/>
    <w:rsid w:val="009A0AF3"/>
    <w:rsid w:val="009A3CF3"/>
    <w:rsid w:val="009B07CD"/>
    <w:rsid w:val="009C19E9"/>
    <w:rsid w:val="009C5548"/>
    <w:rsid w:val="009D1AF5"/>
    <w:rsid w:val="009D74A6"/>
    <w:rsid w:val="009E0E87"/>
    <w:rsid w:val="009E2B9A"/>
    <w:rsid w:val="00A10F02"/>
    <w:rsid w:val="00A16056"/>
    <w:rsid w:val="00A204CA"/>
    <w:rsid w:val="00A209D6"/>
    <w:rsid w:val="00A22738"/>
    <w:rsid w:val="00A36F5F"/>
    <w:rsid w:val="00A430EC"/>
    <w:rsid w:val="00A53724"/>
    <w:rsid w:val="00A54B2B"/>
    <w:rsid w:val="00A57E6F"/>
    <w:rsid w:val="00A71E81"/>
    <w:rsid w:val="00A7330E"/>
    <w:rsid w:val="00A813C6"/>
    <w:rsid w:val="00A81917"/>
    <w:rsid w:val="00A82346"/>
    <w:rsid w:val="00A86073"/>
    <w:rsid w:val="00A9671C"/>
    <w:rsid w:val="00AA1553"/>
    <w:rsid w:val="00AA6263"/>
    <w:rsid w:val="00AB61A5"/>
    <w:rsid w:val="00AE6465"/>
    <w:rsid w:val="00AF318C"/>
    <w:rsid w:val="00B05380"/>
    <w:rsid w:val="00B05962"/>
    <w:rsid w:val="00B15449"/>
    <w:rsid w:val="00B16C2F"/>
    <w:rsid w:val="00B17C58"/>
    <w:rsid w:val="00B27303"/>
    <w:rsid w:val="00B47FD1"/>
    <w:rsid w:val="00B516BB"/>
    <w:rsid w:val="00B62BCC"/>
    <w:rsid w:val="00B7538C"/>
    <w:rsid w:val="00B843E6"/>
    <w:rsid w:val="00B84DB2"/>
    <w:rsid w:val="00BA462A"/>
    <w:rsid w:val="00BB4BE2"/>
    <w:rsid w:val="00BC0637"/>
    <w:rsid w:val="00BC3555"/>
    <w:rsid w:val="00BD57F0"/>
    <w:rsid w:val="00BE1E87"/>
    <w:rsid w:val="00BF7930"/>
    <w:rsid w:val="00C0051E"/>
    <w:rsid w:val="00C12B51"/>
    <w:rsid w:val="00C24650"/>
    <w:rsid w:val="00C25465"/>
    <w:rsid w:val="00C33079"/>
    <w:rsid w:val="00C422B1"/>
    <w:rsid w:val="00C42BA9"/>
    <w:rsid w:val="00C55A12"/>
    <w:rsid w:val="00C6553E"/>
    <w:rsid w:val="00C83A13"/>
    <w:rsid w:val="00C86F10"/>
    <w:rsid w:val="00C9068C"/>
    <w:rsid w:val="00C92967"/>
    <w:rsid w:val="00CA3D0C"/>
    <w:rsid w:val="00CA654B"/>
    <w:rsid w:val="00CB4857"/>
    <w:rsid w:val="00CB4ABD"/>
    <w:rsid w:val="00CB6298"/>
    <w:rsid w:val="00CB72B8"/>
    <w:rsid w:val="00CC44CB"/>
    <w:rsid w:val="00CD0BA8"/>
    <w:rsid w:val="00CD122B"/>
    <w:rsid w:val="00CD44D9"/>
    <w:rsid w:val="00CD4C7B"/>
    <w:rsid w:val="00CD58FE"/>
    <w:rsid w:val="00CE0C7F"/>
    <w:rsid w:val="00CE650D"/>
    <w:rsid w:val="00CF2CC4"/>
    <w:rsid w:val="00CF50E1"/>
    <w:rsid w:val="00D073F0"/>
    <w:rsid w:val="00D21C7F"/>
    <w:rsid w:val="00D33BE3"/>
    <w:rsid w:val="00D3792D"/>
    <w:rsid w:val="00D42DC9"/>
    <w:rsid w:val="00D5475D"/>
    <w:rsid w:val="00D55E47"/>
    <w:rsid w:val="00D56629"/>
    <w:rsid w:val="00D618AF"/>
    <w:rsid w:val="00D62E19"/>
    <w:rsid w:val="00D67CD1"/>
    <w:rsid w:val="00D738D6"/>
    <w:rsid w:val="00D80795"/>
    <w:rsid w:val="00D8192C"/>
    <w:rsid w:val="00D854BE"/>
    <w:rsid w:val="00D87E00"/>
    <w:rsid w:val="00D90BEB"/>
    <w:rsid w:val="00D9134D"/>
    <w:rsid w:val="00D96D11"/>
    <w:rsid w:val="00DA670F"/>
    <w:rsid w:val="00DA7A03"/>
    <w:rsid w:val="00DB0DB8"/>
    <w:rsid w:val="00DB1818"/>
    <w:rsid w:val="00DB19E2"/>
    <w:rsid w:val="00DC309B"/>
    <w:rsid w:val="00DC4D22"/>
    <w:rsid w:val="00DC4DA2"/>
    <w:rsid w:val="00DC5261"/>
    <w:rsid w:val="00DD7589"/>
    <w:rsid w:val="00DE25D2"/>
    <w:rsid w:val="00E244E1"/>
    <w:rsid w:val="00E346C4"/>
    <w:rsid w:val="00E46C08"/>
    <w:rsid w:val="00E471CF"/>
    <w:rsid w:val="00E62835"/>
    <w:rsid w:val="00E72FE5"/>
    <w:rsid w:val="00E75A8D"/>
    <w:rsid w:val="00E77645"/>
    <w:rsid w:val="00E83697"/>
    <w:rsid w:val="00E859B6"/>
    <w:rsid w:val="00E97328"/>
    <w:rsid w:val="00EA66C9"/>
    <w:rsid w:val="00EC4A25"/>
    <w:rsid w:val="00ED4299"/>
    <w:rsid w:val="00EE1E9E"/>
    <w:rsid w:val="00EF2143"/>
    <w:rsid w:val="00EF612C"/>
    <w:rsid w:val="00F025A2"/>
    <w:rsid w:val="00F036E9"/>
    <w:rsid w:val="00F07388"/>
    <w:rsid w:val="00F1485A"/>
    <w:rsid w:val="00F17F81"/>
    <w:rsid w:val="00F2026E"/>
    <w:rsid w:val="00F2210A"/>
    <w:rsid w:val="00F26200"/>
    <w:rsid w:val="00F31372"/>
    <w:rsid w:val="00F37743"/>
    <w:rsid w:val="00F54A3D"/>
    <w:rsid w:val="00F54CB0"/>
    <w:rsid w:val="00F579CD"/>
    <w:rsid w:val="00F653B8"/>
    <w:rsid w:val="00F71B89"/>
    <w:rsid w:val="00F7353C"/>
    <w:rsid w:val="00F737EA"/>
    <w:rsid w:val="00F76F8F"/>
    <w:rsid w:val="00F90290"/>
    <w:rsid w:val="00F941DF"/>
    <w:rsid w:val="00FA1266"/>
    <w:rsid w:val="00FB36FA"/>
    <w:rsid w:val="00FB6DC3"/>
    <w:rsid w:val="00FC1192"/>
    <w:rsid w:val="00FD1D25"/>
    <w:rsid w:val="00FE106D"/>
    <w:rsid w:val="00FE251B"/>
    <w:rsid w:val="00FF4E31"/>
    <w:rsid w:val="3A62C416"/>
    <w:rsid w:val="3C7792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1605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B3EC2"/>
    <w:pPr>
      <w:ind w:left="720"/>
      <w:contextualSpacing/>
    </w:pPr>
  </w:style>
  <w:style w:type="character" w:styleId="CommentReference">
    <w:name w:val="annotation reference"/>
    <w:basedOn w:val="DefaultParagraphFont"/>
    <w:rsid w:val="00CE0C7F"/>
    <w:rPr>
      <w:sz w:val="16"/>
      <w:szCs w:val="16"/>
    </w:rPr>
  </w:style>
  <w:style w:type="paragraph" w:styleId="CommentText">
    <w:name w:val="annotation text"/>
    <w:basedOn w:val="Normal"/>
    <w:link w:val="CommentTextChar"/>
    <w:rsid w:val="00CE0C7F"/>
  </w:style>
  <w:style w:type="character" w:customStyle="1" w:styleId="CommentTextChar">
    <w:name w:val="Comment Text Char"/>
    <w:basedOn w:val="DefaultParagraphFont"/>
    <w:link w:val="CommentText"/>
    <w:rsid w:val="00CE0C7F"/>
    <w:rPr>
      <w:lang w:eastAsia="en-US"/>
    </w:rPr>
  </w:style>
  <w:style w:type="paragraph" w:styleId="CommentSubject">
    <w:name w:val="annotation subject"/>
    <w:basedOn w:val="CommentText"/>
    <w:next w:val="CommentText"/>
    <w:link w:val="CommentSubjectChar"/>
    <w:rsid w:val="00CE0C7F"/>
    <w:rPr>
      <w:b/>
      <w:bCs/>
    </w:rPr>
  </w:style>
  <w:style w:type="character" w:customStyle="1" w:styleId="CommentSubjectChar">
    <w:name w:val="Comment Subject Char"/>
    <w:basedOn w:val="CommentTextChar"/>
    <w:link w:val="CommentSubject"/>
    <w:rsid w:val="00CE0C7F"/>
    <w:rPr>
      <w:b/>
      <w:bCs/>
      <w:lang w:eastAsia="en-US"/>
    </w:rPr>
  </w:style>
  <w:style w:type="character" w:customStyle="1" w:styleId="Heading2Char">
    <w:name w:val="Heading 2 Char"/>
    <w:basedOn w:val="DefaultParagraphFont"/>
    <w:link w:val="Heading2"/>
    <w:rsid w:val="007B73E3"/>
    <w:rPr>
      <w:rFonts w:ascii="Arial" w:hAnsi="Arial"/>
      <w:sz w:val="32"/>
      <w:lang w:eastAsia="en-US"/>
    </w:rPr>
  </w:style>
  <w:style w:type="table" w:styleId="TableGrid">
    <w:name w:val="Table Grid"/>
    <w:basedOn w:val="TableNormal"/>
    <w:rsid w:val="00CE6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CE650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E650D"/>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7873283">
      <w:bodyDiv w:val="1"/>
      <w:marLeft w:val="0"/>
      <w:marRight w:val="0"/>
      <w:marTop w:val="0"/>
      <w:marBottom w:val="0"/>
      <w:divBdr>
        <w:top w:val="none" w:sz="0" w:space="0" w:color="auto"/>
        <w:left w:val="none" w:sz="0" w:space="0" w:color="auto"/>
        <w:bottom w:val="none" w:sz="0" w:space="0" w:color="auto"/>
        <w:right w:val="none" w:sz="0" w:space="0" w:color="auto"/>
      </w:divBdr>
      <w:divsChild>
        <w:div w:id="1290208542">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2022-02-14T16:25:00Z</dcterms:created>
  <dcterms:modified xsi:type="dcterms:W3CDTF">2022-02-14T16:26:00Z</dcterms:modified>
  <cp:category/>
</cp:coreProperties>
</file>